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e8df90c4d22cb7cfd6f402f652063daf7216f9"/>
    <w:p>
      <w:pPr>
        <w:pStyle w:val="Heading2"/>
      </w:pPr>
      <w:r>
        <w:t xml:space="preserve">21. LSTM Regression with Static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a fixed validation partition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validation subset fixed across the whole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stops improving for the configured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 here; the effective training length is controlled by early stopping.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example emphasizes interpretability of the validation curve, because all epochs are judged against the same holdout partition.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0.0006032538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0.18"   "-0.08, -0.05" "-0.32, -0.29" "-0.54, -0.53"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0.0003237804 0.1067715 0.9972035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10.68"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73b898f8f6c2b5f540f3902d65b77c6a502271e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3d4a3f3729e21646d9c5fa7f4049d0b85f9b436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165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configuration is useful when you want a stable validation reference across epochs.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22_ts_lstm_dynamic_patience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2026-05-12T15:39:47Z</dcterms:created>
  <dcterms:modified xsi:type="dcterms:W3CDTF">2026-05-12T15:39:47Z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