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stm-autoencoder-encode"/>
    <w:p>
      <w:pPr>
        <w:pStyle w:val="Heading2"/>
      </w:pPr>
      <w:r>
        <w:t xml:space="preserve">LSTM Autoencoder (encode)</w:t>
      </w:r>
    </w:p>
    <w:p>
      <w:pPr>
        <w:pStyle w:val="FirstParagraph"/>
      </w:pPr>
      <w:r>
        <w:t xml:space="preserve">LSTM autoencoders use recurrent units to encode temporal dependencies in a sequence (window) into a fixed-sized latent vector. The memory cell and gating mechanisms help capture long- and short-term patterns before decoding or downstream use of the latent code.</w:t>
      </w:r>
    </w:p>
    <w:p>
      <w:pPr>
        <w:pStyle w:val="BodyText"/>
      </w:pPr>
      <w:r>
        <w:t xml:space="preserve">This example demonstrates the use of an LSTM-based Autoencoder to encode windows of a time series. The LSTM encoder learns sequence representations, reducing from p to k dimensions.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Architecture: LSTM encoder + MLP/decoder to represent time-series windows.</w:t>
      </w:r>
      <w:r>
        <w:t xml:space="preserve"> </w:t>
      </w:r>
      <w:r>
        <w:t xml:space="preserve">- Useful when there is strong temporal dependence within each window.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LSTM autoencoder: reduce from 5 -&gt; 3 dimensions (p -&gt; k)</w:t>
      </w:r>
      <w:r>
        <w:br/>
      </w:r>
      <w:r>
        <w:rPr>
          <w:rStyle w:val="CommentTok"/>
        </w:rPr>
        <w:t xml:space="preserve"># - the default number of epochs is used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autoenc_lstm_e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lstm_e_files/32ea000accacf136ff6abc0db8f7349eb94a964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(encoding)</w:t>
      </w:r>
      <w:r>
        <w:br/>
      </w:r>
      <w:r>
        <w:rPr>
          <w:rStyle w:val="CommentTok"/>
        </w:rPr>
        <w:t xml:space="preserve"># Show samples from the test set and the encoding (k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 [,2]      [,3]</w:t>
      </w:r>
      <w:r>
        <w:br/>
      </w:r>
      <w:r>
        <w:rPr>
          <w:rStyle w:val="VerbatimChar"/>
        </w:rPr>
        <w:t xml:space="preserve">## [1,] 0.1557786 -0.1342430 0.4324494</w:t>
      </w:r>
      <w:r>
        <w:br/>
      </w:r>
      <w:r>
        <w:rPr>
          <w:rStyle w:val="VerbatimChar"/>
        </w:rPr>
        <w:t xml:space="preserve">## [2,] 0.1643407 -0.1384783 0.4639063</w:t>
      </w:r>
      <w:r>
        <w:br/>
      </w:r>
      <w:r>
        <w:rPr>
          <w:rStyle w:val="VerbatimChar"/>
        </w:rPr>
        <w:t xml:space="preserve">## [3,] 0.1745977 -0.1409656 0.4850899</w:t>
      </w:r>
      <w:r>
        <w:br/>
      </w:r>
      <w:r>
        <w:rPr>
          <w:rStyle w:val="VerbatimChar"/>
        </w:rPr>
        <w:t xml:space="preserve">## [4,] 0.1860848 -0.1416753 0.4965185</w:t>
      </w:r>
      <w:r>
        <w:br/>
      </w:r>
      <w:r>
        <w:rPr>
          <w:rStyle w:val="VerbatimChar"/>
        </w:rPr>
        <w:t xml:space="preserve">## [5,] 0.1981490 -0.1406803 0.4986780</w:t>
      </w:r>
      <w:r>
        <w:br/>
      </w:r>
      <w:r>
        <w:rPr>
          <w:rStyle w:val="VerbatimChar"/>
        </w:rPr>
        <w:t xml:space="preserve">## [6,] 0.2099606 -0.1381245 0.4917860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Hochreiter, S., &amp; Schmidhuber, J. (1997). Long short-term memory. Neural Computation, 9(8), 1735–1780.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2026-05-06T22:37:19Z</dcterms:created>
  <dcterms:modified xsi:type="dcterms:W3CDTF">2026-05-06T22:37:19Z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