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lstm-autoencoder-encode"/>
    <w:p>
      <w:pPr>
        <w:pStyle w:val="Heading2"/>
      </w:pPr>
      <w:r>
        <w:t xml:space="preserve">LSTM Autoencoder (encode)</w:t>
      </w:r>
    </w:p>
    <w:p>
      <w:pPr>
        <w:pStyle w:val="FirstParagraph"/>
      </w:pPr>
      <w:r>
        <w:t xml:space="preserve">LSTM autoencoders use recurrent units to encode temporal dependencies in a sequence (window) into a fixed-sized latent vector. The memory cell and gating mechanisms help capture long- and short-term patterns before decoding or downstream use of the latent code.</w:t>
      </w:r>
    </w:p>
    <w:p>
      <w:pPr>
        <w:pStyle w:val="BodyText"/>
      </w:pPr>
      <w:r>
        <w:t xml:space="preserve">This example demonstrates the use of an LSTM-based Autoencoder to encode windows of a time series. The LSTM encoder learns sequence representations, reducing from p to k dimensions.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Architecture: LSTM encoder + MLP/decoder to represent time-series windows.</w:t>
      </w:r>
      <w:r>
        <w:t xml:space="preserve"> </w:t>
      </w:r>
      <w:r>
        <w:t xml:space="preserve">- Useful when there is strong temporal dependence within each window.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LSTM autoencoder: reduce from 5 -&gt; 3 dimensions (p -&gt; k)</w:t>
      </w:r>
      <w:r>
        <w:br/>
      </w:r>
      <w:r>
        <w:rPr>
          <w:rStyle w:val="CommentTok"/>
        </w:rPr>
        <w:t xml:space="preserve"># - num_epochs: number of epochs (LSTM may require more epochs to converge)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autoenc_lstm_e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Learning curves (train and validation loss per epoch)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lstm_e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[,1]        [,2]       [,3]</w:t>
      </w:r>
      <w:r>
        <w:br/>
      </w:r>
      <w:r>
        <w:rPr>
          <w:rStyle w:val="VerbatimChar"/>
        </w:rPr>
        <w:t xml:space="preserve">## [1,] -0.6690854 -0.14332706 -0.4782584</w:t>
      </w:r>
      <w:r>
        <w:br/>
      </w:r>
      <w:r>
        <w:rPr>
          <w:rStyle w:val="VerbatimChar"/>
        </w:rPr>
        <w:t xml:space="preserve">## [2,] -0.6787090 -0.19798414 -0.5197335</w:t>
      </w:r>
      <w:r>
        <w:br/>
      </w:r>
      <w:r>
        <w:rPr>
          <w:rStyle w:val="VerbatimChar"/>
        </w:rPr>
        <w:t xml:space="preserve">## [3,] -0.6819298 -0.21665172 -0.5407951</w:t>
      </w:r>
      <w:r>
        <w:br/>
      </w:r>
      <w:r>
        <w:rPr>
          <w:rStyle w:val="VerbatimChar"/>
        </w:rPr>
        <w:t xml:space="preserve">## [4,] -0.6792045 -0.19878395 -0.5443547</w:t>
      </w:r>
      <w:r>
        <w:br/>
      </w:r>
      <w:r>
        <w:rPr>
          <w:rStyle w:val="VerbatimChar"/>
        </w:rPr>
        <w:t xml:space="preserve">## [5,] -0.6701109 -0.14390284 -0.5311521</w:t>
      </w:r>
      <w:r>
        <w:br/>
      </w:r>
      <w:r>
        <w:rPr>
          <w:rStyle w:val="VerbatimChar"/>
        </w:rPr>
        <w:t xml:space="preserve">## [6,] -0.6533487 -0.05354887 -0.4997656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Hochreiter, S., &amp; Schmidhuber, J. (1997). Long short-term memory. Neural Computation, 9(8), 1735–1780.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2026-03-11T05:53:51Z</dcterms:created>
  <dcterms:modified xsi:type="dcterms:W3CDTF">2026-03-11T05:53:51Z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