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classification-examples"/>
    <w:p>
      <w:pPr>
        <w:pStyle w:val="Heading1"/>
      </w:pPr>
      <w:r>
        <w:t xml:space="preserve">Classification — Examples</w:t>
      </w:r>
    </w:p>
    <w:p>
      <w:pPr>
        <w:pStyle w:val="FirstParagraph"/>
      </w:pPr>
      <w:r>
        <w:t xml:space="preserve">These examples show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exposes Python classifiers, especially from the scikit-learn ecosystem, with the same training and prediction flow used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</w:t>
      </w:r>
    </w:p>
    <w:p>
      <w:pPr>
        <w:pStyle w:val="BodyText"/>
      </w:pPr>
      <w:r>
        <w:t xml:space="preserve">Use this section when you want to compare modeling behavior:</w:t>
      </w:r>
    </w:p>
    <w:p>
      <w:pPr>
        <w:numPr>
          <w:ilvl w:val="0"/>
          <w:numId w:val="1001"/>
        </w:numPr>
      </w:pPr>
      <w:r>
        <w:t xml:space="preserve">neighborhood-based classification (</w:t>
      </w:r>
      <w:r>
        <w:rPr>
          <w:rStyle w:val="VerbatimChar"/>
        </w:rPr>
        <w:t xml:space="preserve">KNN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probabilistic classification (</w:t>
      </w:r>
      <w:r>
        <w:rPr>
          <w:rStyle w:val="VerbatimChar"/>
        </w:rPr>
        <w:t xml:space="preserve">Naive Bayes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margin-based classification (</w:t>
      </w:r>
      <w:r>
        <w:rPr>
          <w:rStyle w:val="VerbatimChar"/>
        </w:rPr>
        <w:t xml:space="preserve">SVC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tree ensembles (</w:t>
      </w:r>
      <w:r>
        <w:rPr>
          <w:rStyle w:val="VerbatimChar"/>
        </w:rPr>
        <w:t xml:space="preserve">Random Forest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Gradient Boosting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neural classification (</w:t>
      </w:r>
      <w:r>
        <w:rPr>
          <w:rStyle w:val="VerbatimChar"/>
        </w:rPr>
        <w:t xml:space="preserve">MLP</w:t>
      </w:r>
      <w:r>
        <w:t xml:space="preserve">)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skcla_knn.md</w:t>
        </w:r>
      </w:hyperlink>
      <w:r>
        <w:t xml:space="preserve"> </w:t>
      </w:r>
      <w:r>
        <w:t xml:space="preserve">— K-Nearest Neighbors: predicts by majority vote among the k nearest neighbors.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skcla_nb.md</w:t>
        </w:r>
      </w:hyperlink>
      <w:r>
        <w:t xml:space="preserve"> </w:t>
      </w:r>
      <w:r>
        <w:t xml:space="preserve">— Naive Bayes: applies Bayes’ rule with a conditional independence assumption among features.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skcla_svc.md</w:t>
        </w:r>
      </w:hyperlink>
      <w:r>
        <w:t xml:space="preserve"> </w:t>
      </w:r>
      <w:r>
        <w:t xml:space="preserve">— SVM (Support Vector Machine): maximizes margin; kernels enable nonlinear decision boundaries.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skcla_rf.md</w:t>
        </w:r>
      </w:hyperlink>
      <w:r>
        <w:t xml:space="preserve"> </w:t>
      </w:r>
      <w:r>
        <w:t xml:space="preserve">— Random Forest: ensemble of decision trees with majority voting; robust via bagging and feature randomness.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skcla_gb.md</w:t>
        </w:r>
      </w:hyperlink>
      <w:r>
        <w:t xml:space="preserve"> </w:t>
      </w:r>
      <w:r>
        <w:t xml:space="preserve">— Gradient Boosting: additive ensemble of trees fit to gradients of the loss.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skcla_mlp.md</w:t>
        </w:r>
      </w:hyperlink>
      <w:r>
        <w:t xml:space="preserve"> </w:t>
      </w:r>
      <w:r>
        <w:t xml:space="preserve">— MLP (feedforward neural network): learns nonlinear decision boundaries via backpropagation.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skcla_gb.md" TargetMode="External" /><Relationship Type="http://schemas.openxmlformats.org/officeDocument/2006/relationships/hyperlink" Id="rId20" Target="skcla_knn.md" TargetMode="External" /><Relationship Type="http://schemas.openxmlformats.org/officeDocument/2006/relationships/hyperlink" Id="rId25" Target="skcla_mlp.md" TargetMode="External" /><Relationship Type="http://schemas.openxmlformats.org/officeDocument/2006/relationships/hyperlink" Id="rId21" Target="skcla_nb.md" TargetMode="External" /><Relationship Type="http://schemas.openxmlformats.org/officeDocument/2006/relationships/hyperlink" Id="rId23" Target="skcla_rf.md" TargetMode="External" /><Relationship Type="http://schemas.openxmlformats.org/officeDocument/2006/relationships/hyperlink" Id="rId22" Target="skcla_svc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skcla_gb.md" TargetMode="External" /><Relationship Type="http://schemas.openxmlformats.org/officeDocument/2006/relationships/hyperlink" Id="rId20" Target="skcla_knn.md" TargetMode="External" /><Relationship Type="http://schemas.openxmlformats.org/officeDocument/2006/relationships/hyperlink" Id="rId25" Target="skcla_mlp.md" TargetMode="External" /><Relationship Type="http://schemas.openxmlformats.org/officeDocument/2006/relationships/hyperlink" Id="rId21" Target="skcla_nb.md" TargetMode="External" /><Relationship Type="http://schemas.openxmlformats.org/officeDocument/2006/relationships/hyperlink" Id="rId23" Target="skcla_rf.md" TargetMode="External" /><Relationship Type="http://schemas.openxmlformats.org/officeDocument/2006/relationships/hyperlink" Id="rId22" Target="skcla_svc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2026-03-11T05:54:12Z</dcterms:created>
  <dcterms:modified xsi:type="dcterms:W3CDTF">2026-03-11T05:54:12Z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