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time-series-examples"/>
    <w:p>
      <w:pPr>
        <w:pStyle w:val="Heading1"/>
      </w:pPr>
      <w:r>
        <w:t xml:space="preserve">Time Series — Examples</w:t>
      </w:r>
    </w:p>
    <w:p>
      <w:pPr>
        <w:pStyle w:val="FirstParagraph"/>
      </w:pPr>
      <w:r>
        <w:t xml:space="preserve">These examples show how the Python-backed models in</w:t>
      </w:r>
      <w:r>
        <w:t xml:space="preserve"> </w:t>
      </w:r>
      <w:r>
        <w:rPr>
          <w:rStyle w:val="VerbatimChar"/>
        </w:rPr>
        <w:t xml:space="preserve">daltoolboxdp</w:t>
      </w:r>
      <w:r>
        <w:t xml:space="preserve"> </w:t>
      </w:r>
      <w:r>
        <w:t xml:space="preserve">fit into a time-series workflow based on sliding windows. They are the shortest path if the goal is to understand the end-to-end transformation from a raw series into latent representations and reconstructed windows.</w:t>
      </w:r>
    </w:p>
    <w:p>
      <w:pPr>
        <w:pStyle w:val="BodyText"/>
      </w:pPr>
      <w:r>
        <w:t xml:space="preserve">Use this section when you want to see:</w:t>
      </w:r>
    </w:p>
    <w:p>
      <w:pPr>
        <w:numPr>
          <w:ilvl w:val="0"/>
          <w:numId w:val="1001"/>
        </w:numPr>
      </w:pPr>
      <w:r>
        <w:t xml:space="preserve">how a univariate series is converted into windows of length</w:t>
      </w:r>
      <w:r>
        <w:t xml:space="preserve"> </w:t>
      </w:r>
      <w:r>
        <w:rPr>
          <w:rStyle w:val="VerbatimChar"/>
        </w:rPr>
        <w:t xml:space="preserve">p</w:t>
      </w:r>
    </w:p>
    <w:p>
      <w:pPr>
        <w:numPr>
          <w:ilvl w:val="0"/>
          <w:numId w:val="1001"/>
        </w:numPr>
      </w:pPr>
      <w:r>
        <w:t xml:space="preserve">how an autoencoder compresses those windows into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latent dimensions</w:t>
      </w:r>
    </w:p>
    <w:p>
      <w:pPr>
        <w:numPr>
          <w:ilvl w:val="0"/>
          <w:numId w:val="1001"/>
        </w:numPr>
      </w:pPr>
      <w:r>
        <w:t xml:space="preserve">how reconstruction error helps evaluate the quality of the learned representation</w:t>
      </w:r>
    </w:p>
    <w:p>
      <w:pPr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ts_encode.md</w:t>
        </w:r>
      </w:hyperlink>
      <w:r>
        <w:t xml:space="preserve"> </w:t>
      </w:r>
      <w:r>
        <w:t xml:space="preserve">— Encodes windows (p-&gt;k) using an autoencoder; the bottleneck provides a compact representation for downstream use.</w:t>
      </w:r>
    </w:p>
    <w:p>
      <w:pPr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ts_encode-decode.md</w:t>
        </w:r>
      </w:hyperlink>
      <w:r>
        <w:t xml:space="preserve"> </w:t>
      </w:r>
      <w:r>
        <w:t xml:space="preserve">— Encodes and reconstructs (p&lt;-&gt;k) to evaluate quality via reconstruction error.</w:t>
      </w:r>
    </w:p>
    <w:p>
      <w:pPr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ts_lstm.md</w:t>
        </w:r>
      </w:hyperlink>
      <w:r>
        <w:t xml:space="preserve"> </w:t>
      </w:r>
      <w:r>
        <w:t xml:space="preserve">— Forecasts one step ahead from lagged windows using a PyTorch LSTM with unified validation/stopping options.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ts_conv1d.md</w:t>
        </w:r>
      </w:hyperlink>
      <w:r>
        <w:t xml:space="preserve"> </w:t>
      </w:r>
      <w:r>
        <w:t xml:space="preserve">— Forecasts one step ahead from lagged windows using a PyTorch Conv1D model.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ts_conv1d.md" TargetMode="External" /><Relationship Type="http://schemas.openxmlformats.org/officeDocument/2006/relationships/hyperlink" Id="rId10" Target="ts_encode-decode.md" TargetMode="External" /><Relationship Type="http://schemas.openxmlformats.org/officeDocument/2006/relationships/hyperlink" Id="rId9" Target="ts_encode.md" TargetMode="External" /><Relationship Type="http://schemas.openxmlformats.org/officeDocument/2006/relationships/hyperlink" Id="rId11" Target="ts_lstm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ts_conv1d.md" TargetMode="External" /><Relationship Type="http://schemas.openxmlformats.org/officeDocument/2006/relationships/hyperlink" Id="rId10" Target="ts_encode-decode.md" TargetMode="External" /><Relationship Type="http://schemas.openxmlformats.org/officeDocument/2006/relationships/hyperlink" Id="rId9" Target="ts_encode.md" TargetMode="External" /><Relationship Type="http://schemas.openxmlformats.org/officeDocument/2006/relationships/hyperlink" Id="rId11" Target="ts_lstm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2026-05-06T03:45:56Z</dcterms:created>
  <dcterms:modified xsi:type="dcterms:W3CDTF">2026-05-06T03:45:56Z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