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: PyTorch-backed multilayer perceptron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hidden_sizes</w:t>
      </w:r>
      <w:r>
        <w:t xml:space="preserve"> </w:t>
      </w:r>
      <w:r>
        <w:t xml:space="preserve">(hidden-layer width/depth),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 and the unified validation/early-stopping controls.</w:t>
      </w:r>
    </w:p>
    <w:p>
      <w:pPr>
        <w:pStyle w:val="BodyText"/>
      </w:pPr>
      <w:r>
        <w:t xml:space="preserve">Didactic goal: read this example as the same numeric-prediction workflow used by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. The Experiment Line stays the same; the practical change is the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 with PyTorch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</w:t>
      </w:r>
      <w:r>
        <w:br/>
      </w:r>
      <w:r>
        <w:rPr>
          <w:rStyle w:val="VerbatimChar"/>
        </w:rPr>
        <w:t xml:space="preserve">## [1,] "numeric" "numeric" "numeric" "integer" "numeric" "numeric" "numeric"</w:t>
      </w:r>
      <w:r>
        <w:br/>
      </w:r>
      <w:r>
        <w:rPr>
          <w:rStyle w:val="VerbatimChar"/>
        </w:rPr>
        <w:t xml:space="preserve">##      dis       rad       tax       ptratio   black     lstat     medv     </w:t>
      </w:r>
      <w:r>
        <w:br/>
      </w:r>
      <w:r>
        <w:rPr>
          <w:rStyle w:val="VerbatimChar"/>
        </w:rPr>
        <w:t xml:space="preserve">## [1,] "numeric" "integer" "numeric" "numeric"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define the hidden architecture and training controls.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keep</w:t>
      </w:r>
      <w:r>
        <w:t xml:space="preserve"> </w:t>
      </w:r>
      <w:r>
        <w:rPr>
          <w:rStyle w:val="VerbatimChar"/>
        </w:rPr>
        <w:t xml:space="preserve">epochs = 100L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62.17981 0.2404659 0.3091764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43.75694 0.2616936 0.2728437</w:t>
      </w:r>
    </w:p>
    <w:p>
      <w:pPr>
        <w:pStyle w:val="FirstParagraph"/>
      </w:pPr>
      <w:r>
        <w:t xml:space="preserve">Training curves.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regression\doc\torch_reg_mlp_files/e34d5585a3e81e13d397d23b59b914a6c5c0d4d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2026-05-06T21:14:51Z</dcterms:created>
  <dcterms:modified xsi:type="dcterms:W3CDTF">2026-05-06T21:14:51Z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