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: PyTorch-backed multilayer perceptron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hidden_sizes</w:t>
      </w:r>
      <w:r>
        <w:t xml:space="preserve"> </w:t>
      </w:r>
      <w:r>
        <w:t xml:space="preserve">(hidden-layer width/depth),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 and the unified validation/early-stopping controls.</w:t>
      </w:r>
    </w:p>
    <w:p>
      <w:pPr>
        <w:pStyle w:val="BodyText"/>
      </w:pPr>
      <w:r>
        <w:t xml:space="preserve">Didactic goal: read this example as the same numeric-prediction workflow used by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. The Experiment Line stays the same; the practical change is the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MLP with PyTorch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 black  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 "numeric"</w:t>
      </w:r>
      <w:r>
        <w:br/>
      </w:r>
      <w:r>
        <w:rPr>
          <w:rStyle w:val="VerbatimChar"/>
        </w:rPr>
        <w:t xml:space="preserve">##      lstat     medv     </w:t>
      </w:r>
      <w:r>
        <w:br/>
      </w:r>
      <w:r>
        <w:rPr>
          <w:rStyle w:val="VerbatimChar"/>
        </w:rPr>
        <w:t xml:space="preserve">## [1,]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define the hidden architecture and training controls.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control the hidden blocks.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restrict the prediction range when required by the domain.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exposes the initialization strategy for deeper or more sensitive regressors.</w:t>
      </w:r>
    </w:p>
    <w:p>
      <w:pPr>
        <w:pStyle w:val="BodyText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11.91065 0.1250267 0.8676715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26.05942 0.1511656 0.5669424</w:t>
      </w:r>
    </w:p>
    <w:p>
      <w:pPr>
        <w:pStyle w:val="FirstParagraph"/>
      </w:pPr>
      <w:r>
        <w:t xml:space="preserve">Training curves.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torch_reg_mlp_files/d08f41ae4c9e60b97932a1428977936cb672932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2026-05-11T14:45:50Z</dcterms:created>
  <dcterms:modified xsi:type="dcterms:W3CDTF">2026-05-11T14:45:50Z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