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How do the time-series examples use these components for encoding and reconstruction?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covering model creation, training, prediction, and evaluation.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focused on encoding (p-&gt;k) and reconstruction (k-&gt;p) with autoencoders.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/autoencoder/README.md" TargetMode="External" /><Relationship Type="http://schemas.openxmlformats.org/officeDocument/2006/relationships/hyperlink" Id="rId21" Target="examples/classification/README.md" TargetMode="External" /><Relationship Type="http://schemas.openxmlformats.org/officeDocument/2006/relationships/hyperlink" Id="rId22" Target="examples/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/autoencoder/README.md" TargetMode="External" /><Relationship Type="http://schemas.openxmlformats.org/officeDocument/2006/relationships/hyperlink" Id="rId21" Target="examples/classification/README.md" TargetMode="External" /><Relationship Type="http://schemas.openxmlformats.org/officeDocument/2006/relationships/hyperlink" Id="rId22" Target="examples/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2026-03-11T05:25:28Z</dcterms:created>
  <dcterms:modified xsi:type="dcterms:W3CDTF">2026-03-11T05:25:28Z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