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lstm-autoencoder-encode"/>
    <w:p>
      <w:pPr>
        <w:pStyle w:val="Heading2"/>
      </w:pPr>
      <w:r>
        <w:t xml:space="preserve">LSTM Autoencoder (encode)</w:t>
      </w:r>
    </w:p>
    <w:p>
      <w:pPr>
        <w:pStyle w:val="FirstParagraph"/>
      </w:pPr>
      <w:r>
        <w:t xml:space="preserve">LSTM autoencoders use recurrent units to encode temporal dependencies in a sequence (window) into a fixed-sized latent vector. The memory cell and gating mechanisms help capture long- and short-term patterns before decoding or downstream use of the latent code.</w:t>
      </w:r>
    </w:p>
    <w:p>
      <w:pPr>
        <w:pStyle w:val="BodyText"/>
      </w:pPr>
      <w:r>
        <w:t xml:space="preserve">This example demonstrates the use of an LSTM-based Autoencoder to encode windows of a time series. The LSTM encoder learns sequence representations, reducing from p to k dimensions.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Architecture: LSTM encoder + MLP/decoder to represent time-series windows.</w:t>
      </w:r>
      <w:r>
        <w:t xml:space="preserve"> </w:t>
      </w:r>
      <w:r>
        <w:t xml:space="preserve">- Useful when there is strong temporal dependence within each window.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LSTM autoencoder: reduce from 5 -&gt; 3 dimensions (p -&gt; k)</w:t>
      </w:r>
      <w:r>
        <w:br/>
      </w:r>
      <w:r>
        <w:rPr>
          <w:rStyle w:val="CommentTok"/>
        </w:rPr>
        <w:t xml:space="preserve"># - num_epochs: number of epochs (LSTM may require more epochs to converge)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autoenc_lstm_e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(train and validation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lstm_e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</w:t>
      </w:r>
      <w:r>
        <w:br/>
      </w:r>
      <w:r>
        <w:rPr>
          <w:rStyle w:val="VerbatimChar"/>
        </w:rPr>
        <w:t xml:space="preserve">## [1,] -0.6673456 -0.1552308 -0.4767345</w:t>
      </w:r>
      <w:r>
        <w:br/>
      </w:r>
      <w:r>
        <w:rPr>
          <w:rStyle w:val="VerbatimChar"/>
        </w:rPr>
        <w:t xml:space="preserve">## [2,] -0.6770718 -0.2103250 -0.5184307</w:t>
      </w:r>
      <w:r>
        <w:br/>
      </w:r>
      <w:r>
        <w:rPr>
          <w:rStyle w:val="VerbatimChar"/>
        </w:rPr>
        <w:t xml:space="preserve">## [3,] -0.6803101 -0.2293261 -0.5396262</w:t>
      </w:r>
      <w:r>
        <w:br/>
      </w:r>
      <w:r>
        <w:rPr>
          <w:rStyle w:val="VerbatimChar"/>
        </w:rPr>
        <w:t xml:space="preserve">## [4,] -0.6775141 -0.2118449 -0.5432391</w:t>
      </w:r>
      <w:r>
        <w:br/>
      </w:r>
      <w:r>
        <w:rPr>
          <w:rStyle w:val="VerbatimChar"/>
        </w:rPr>
        <w:t xml:space="preserve">## [5,] -0.6682557 -0.1572712 -0.5300162</w:t>
      </w:r>
      <w:r>
        <w:br/>
      </w:r>
      <w:r>
        <w:rPr>
          <w:rStyle w:val="VerbatimChar"/>
        </w:rPr>
        <w:t xml:space="preserve">## [6,] -0.6512280 -0.0667141 -0.4985404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Hochreiter, S., &amp; Schmidhuber, J. (1997). Long short-term memory. Neural Computation, 9(8), 1735–1780.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2026-03-11T02:47:47Z</dcterms:created>
  <dcterms:modified xsi:type="dcterms:W3CDTF">2026-03-11T02:47:47Z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