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stm-autoencoder-encode"/>
    <w:p>
      <w:pPr>
        <w:pStyle w:val="Heading2"/>
      </w:pPr>
      <w:r>
        <w:t xml:space="preserve">LSTM Autoencoder (encode)</w:t>
      </w:r>
    </w:p>
    <w:p>
      <w:pPr>
        <w:pStyle w:val="FirstParagraph"/>
      </w:pPr>
      <w:r>
        <w:t xml:space="preserve">LSTM autoencoders use recurrent units to encode temporal dependencies in a sequence (window) into a fixed-sized latent vector. The memory cell and gating mechanisms help capture long- and short-term patterns before decoding or downstream use of the latent code.</w:t>
      </w:r>
    </w:p>
    <w:p>
      <w:pPr>
        <w:pStyle w:val="BodyText"/>
      </w:pPr>
      <w:r>
        <w:t xml:space="preserve">This example demonstrates the use of an LSTM-based Autoencoder to encode windows of a time series. The LSTM encoder learns sequence representations, reducing from p to k dimensions.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Architecture: LSTM encoder + MLP/decoder to represent time-series windows.</w:t>
      </w:r>
      <w:r>
        <w:t xml:space="preserve"> </w:t>
      </w:r>
      <w:r>
        <w:t xml:space="preserve">- Useful when there is strong temporal dependence within each window.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LSTM autoencoder: reduce from 5 -&gt; 3 dimensions (p -&gt; k)</w:t>
      </w:r>
      <w:r>
        <w:br/>
      </w:r>
      <w:r>
        <w:rPr>
          <w:rStyle w:val="CommentTok"/>
        </w:rPr>
        <w:t xml:space="preserve"># - this example intentionally increases the number of epochs above the library default</w:t>
      </w:r>
      <w:r>
        <w:br/>
      </w:r>
      <w:r>
        <w:rPr>
          <w:rStyle w:val="CommentTok"/>
        </w:rPr>
        <w:t xml:space="preserve"># - use the full window as a sequence and a larger recurrent hidden state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autoenc_lstm_e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sequence_length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lstm_hidden_size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 </w:t>
      </w:r>
      <w:r>
        <w:t xml:space="preserve">reshapes each row into a longer temporal sequence before the recurrent encoder.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lstm_hidden_size</w:t>
      </w:r>
      <w:r>
        <w:t xml:space="preserve"> </w:t>
      </w:r>
      <w:r>
        <w:t xml:space="preserve">decouples recurrent capacity from the latent bottleneck</w:t>
      </w:r>
      <w:r>
        <w:t xml:space="preserve"> </w:t>
      </w:r>
      <w:r>
        <w:rPr>
          <w:rStyle w:val="VerbatimChar"/>
        </w:rPr>
        <w:t xml:space="preserve">encoding_size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num_layers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 </w:t>
      </w:r>
      <w:r>
        <w:t xml:space="preserve">enable deeper recurrent autoencoders.</w:t>
      </w:r>
      <w:r>
        <w:t xml:space="preserve"> </w:t>
      </w:r>
      <w:r>
        <w:t xml:space="preserve">- For this example,</w:t>
      </w:r>
      <w:r>
        <w:t xml:space="preserve"> </w:t>
      </w:r>
      <w:r>
        <w:rPr>
          <w:rStyle w:val="VerbatimChar"/>
        </w:rPr>
        <w:t xml:space="preserve">sequence_length = 5L</w:t>
      </w:r>
      <w:r>
        <w:t xml:space="preserve"> </w:t>
      </w:r>
      <w:r>
        <w:t xml:space="preserve">makes each window a true 5-step sequence, which is usually more informative than the degenerate</w:t>
      </w:r>
      <w:r>
        <w:t xml:space="preserve"> </w:t>
      </w:r>
      <w:r>
        <w:rPr>
          <w:rStyle w:val="VerbatimChar"/>
        </w:rPr>
        <w:t xml:space="preserve">sequence_length = 1L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04_autoenc_lstm_e_files/4c9d1612fecf0de6b12fa22fc0bfe9681410c25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(encoding)</w:t>
      </w:r>
      <w:r>
        <w:br/>
      </w:r>
      <w:r>
        <w:rPr>
          <w:rStyle w:val="CommentTok"/>
        </w:rPr>
        <w:t xml:space="preserve"># Show samples from the test set and the encoding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[,1]     [,2]       [,3]</w:t>
      </w:r>
      <w:r>
        <w:br/>
      </w:r>
      <w:r>
        <w:rPr>
          <w:rStyle w:val="VerbatimChar"/>
        </w:rPr>
        <w:t xml:space="preserve">## [1,] 1.623646 1.132362 -0.5565819</w:t>
      </w:r>
      <w:r>
        <w:br/>
      </w:r>
      <w:r>
        <w:rPr>
          <w:rStyle w:val="VerbatimChar"/>
        </w:rPr>
        <w:t xml:space="preserve">## [2,] 1.720915 1.196988 -0.5996022</w:t>
      </w:r>
      <w:r>
        <w:br/>
      </w:r>
      <w:r>
        <w:rPr>
          <w:rStyle w:val="VerbatimChar"/>
        </w:rPr>
        <w:t xml:space="preserve">## [3,] 1.773435 1.231892 -0.6222906</w:t>
      </w:r>
      <w:r>
        <w:br/>
      </w:r>
      <w:r>
        <w:rPr>
          <w:rStyle w:val="VerbatimChar"/>
        </w:rPr>
        <w:t xml:space="preserve">## [4,] 1.784624 1.239586 -0.6262597</w:t>
      </w:r>
      <w:r>
        <w:br/>
      </w:r>
      <w:r>
        <w:rPr>
          <w:rStyle w:val="VerbatimChar"/>
        </w:rPr>
        <w:t xml:space="preserve">## [5,] 1.754847 1.220451 -0.6114599</w:t>
      </w:r>
      <w:r>
        <w:br/>
      </w:r>
      <w:r>
        <w:rPr>
          <w:rStyle w:val="VerbatimChar"/>
        </w:rPr>
        <w:t xml:space="preserve">## [6,] 1.680419 1.172078 -0.5757307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Hochreiter, S., &amp; Schmidhuber, J. (1997). Long short-term memory. Neural Computation, 9(8), 1735–1780.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2026-05-12T17:40:14Z</dcterms:created>
  <dcterms:modified xsi:type="dcterms:W3CDTF">2026-05-12T17:40:14Z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