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ime-series-mlp-regression"/>
    <w:p>
      <w:pPr>
        <w:pStyle w:val="Heading2"/>
      </w:pPr>
      <w:r>
        <w:t xml:space="preserve">Time-Series MLP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torch_ts_mlp</w:t>
      </w:r>
      <w:r>
        <w:t xml:space="preserve"> </w:t>
      </w:r>
      <w:r>
        <w:t xml:space="preserve">uses a feedforward multilayer perceptron over lagged windows.</w:t>
      </w:r>
      <w:r>
        <w:t xml:space="preserve"> </w:t>
      </w:r>
      <w:r>
        <w:t xml:space="preserve">- It is the direct PyTorch MLP counterpart to the recurrent and convolutional forecasters already available in this package.</w:t>
      </w:r>
    </w:p>
    <w:p>
      <w:pPr>
        <w:pStyle w:val="BodyText"/>
      </w:pPr>
      <w:r>
        <w:t xml:space="preserve">Didactic goal: compare a plain feedforward forecaster with</w:t>
      </w:r>
      <w:r>
        <w:t xml:space="preserve"> </w:t>
      </w:r>
      <w:r>
        <w:rPr>
          <w:rStyle w:val="VerbatimChar"/>
        </w:rPr>
        <w:t xml:space="preserve">ts_lstm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ts_conv1d</w:t>
      </w:r>
      <w:r>
        <w:t xml:space="preserve">, while preserving the same Experiment Line used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Time Series Regression - PyTorch MLP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11_torch_ts_mlp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train the MLP forecaster on the prepared training data.</w:t>
      </w:r>
    </w:p>
    <w:p>
      <w:pPr>
        <w:pStyle w:val="SourceCode"/>
      </w:pPr>
      <w:r>
        <w:rPr>
          <w:rStyle w:val="CommentTok"/>
        </w:rPr>
        <w:t xml:space="preserve"># Training the PyTorch MLP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value,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final curve plot always shows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</w:t>
      </w:r>
      <w:r>
        <w:t xml:space="preserve"> </w:t>
      </w:r>
      <w:r>
        <w:t xml:space="preserve">changes the hidden nonlinearity.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normalization = "batch"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"layer"</w:t>
      </w:r>
      <w:r>
        <w:t xml:space="preserve"> </w:t>
      </w:r>
      <w:r>
        <w:t xml:space="preserve">adds normalization after each hidden layer.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init_method</w:t>
      </w:r>
      <w:r>
        <w:t xml:space="preserve"> </w:t>
      </w:r>
      <w:r>
        <w:t xml:space="preserve">controls how linear weights are initialized.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output_activation</w:t>
      </w:r>
      <w:r>
        <w:t xml:space="preserve"> </w:t>
      </w:r>
      <w:r>
        <w:t xml:space="preserve">can constrain the forecast range when needed.</w:t>
      </w:r>
    </w:p>
    <w:p>
      <w:pPr>
        <w:pStyle w:val="BodyText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4.621556e-07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"0.41, 0.41"   "0.17, 0.17"   "-0.08, -0.07" "-0.32, -0.32" "-0.54, -0.54"</w:t>
      </w:r>
    </w:p>
    <w:p>
      <w:pPr>
        <w:pStyle w:val="FirstParagraph"/>
      </w:pPr>
      <w:r>
        <w:t xml:space="preserve">This chunk evaluates the custom component on the held-out test segment.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smape        R2</w:t>
      </w:r>
      <w:r>
        <w:br/>
      </w:r>
      <w:r>
        <w:rPr>
          <w:rStyle w:val="VerbatimChar"/>
        </w:rPr>
        <w:t xml:space="preserve">## 1 1.479336e-07 0.00143209 0.9999987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0.14"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11_torch_ts_mlp_files/6ad88a97b2f9049c8712a5566cd86994ad0a357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additional plot below shows the training curve and, when enabled, the validation curve used by the unified early-stopping strategies.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11_torch_ts_mlp_files/c7289957798f15dba50c8394ce3351fea383ec0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The default configuration is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, so only the training curve is shown.</w:t>
      </w:r>
      <w:r>
        <w:t xml:space="preserve"> </w:t>
      </w:r>
      <w:r>
        <w:t xml:space="preserve">- This example uses</w:t>
      </w:r>
      <w:r>
        <w:t xml:space="preserve"> </w:t>
      </w:r>
      <w:r>
        <w:rPr>
          <w:rStyle w:val="VerbatimChar"/>
        </w:rPr>
        <w:t xml:space="preserve">epochs = 1000L</w:t>
      </w:r>
      <w:r>
        <w:t xml:space="preserve"> </w:t>
      </w:r>
      <w:r>
        <w:t xml:space="preserve">explicitly so the feedforward MLP reaches a competitive fit on this series.</w:t>
      </w:r>
      <w:r>
        <w:t xml:space="preserve"> </w:t>
      </w:r>
      <w:r>
        <w:t xml:space="preserve">- To display validation loss as well, use an early-stopping rule such as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combine dynamic validation with those criteria, set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Bishop, C. M. (1995). Neural Networks for Pattern Recognition.</w:t>
      </w:r>
      <w:r>
        <w:t xml:space="preserve"> </w:t>
      </w:r>
      <w:r>
        <w:t xml:space="preserve">- Paszke, A., et al. (2019). PyTorch: An Imperative Style, High-Performance Deep Learning Library.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2026-05-11T17:24:08Z</dcterms:created>
  <dcterms:modified xsi:type="dcterms:W3CDTF">2026-05-11T17:24:08Z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