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f0c38ca29faff72589319ecc9d734004436203f"/>
    <w:p>
      <w:pPr>
        <w:pStyle w:val="Heading2"/>
      </w:pPr>
      <w:r>
        <w:t xml:space="preserve">22. LSTM Regression with Dynamic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with dynamic validation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monitored validation loss stops improving enough.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 ceiling; the actual number of epochs is reported by</w:t>
      </w:r>
      <w:r>
        <w:t xml:space="preserve"> </w:t>
      </w:r>
      <w:r>
        <w:rPr>
          <w:rStyle w:val="VerbatimChar"/>
        </w:rPr>
        <w:t xml:space="preserve">epochs_done</w:t>
      </w:r>
      <w:r>
        <w:t xml:space="preserve">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, which can be noisier than in the static case.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setup is useful when a single fixed validation split feels too brittle for the available data.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0.002441363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0.44"   "0.17, 0.20"   "-0.08, -0.07" "-0.32, -0.34" "-0.54, -0.59"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0.0008254498 0.09173933 0.9928705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9.17"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7f4661799ac0b2e812a0948b8d70558f8cd1cde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f0a340eb13624f9779e755c8644e9b6aa4b0878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117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Dynamic validation makes the monitored curve more variable, but can reduce dependence on a single holdout draw.</w:t>
      </w:r>
      <w:r>
        <w:t xml:space="preserve"> </w:t>
      </w:r>
      <w:r>
        <w:t xml:space="preserve">- To compare with a fixed validation split, see</w:t>
      </w:r>
      <w:r>
        <w:t xml:space="preserve"> </w:t>
      </w:r>
      <w:r>
        <w:rPr>
          <w:rStyle w:val="VerbatimChar"/>
        </w:rPr>
        <w:t xml:space="preserve">21_ts_lstm_static_patience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2026-05-11T17:24:20Z</dcterms:created>
  <dcterms:modified xsi:type="dcterms:W3CDTF">2026-05-11T17:24:20Z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