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dversarial-autoencoder-encode-decode"/>
    <w:p>
      <w:pPr>
        <w:pStyle w:val="Heading2"/>
      </w:pPr>
      <w:r>
        <w:t xml:space="preserve">Adversarial Autoencoder (encode-decode)</w:t>
      </w:r>
    </w:p>
    <w:p>
      <w:pPr>
        <w:pStyle w:val="FirstParagraph"/>
      </w:pPr>
      <w:r>
        <w:t xml:space="preserve">An AAE couples reconstruction loss with an adversarial game in latent space. A discriminator distinguishes samples from the encoder vs. the prior, while the encoder seeks to fool it, aligning the aggregate posterior with the chosen prior distribution.</w:t>
      </w:r>
    </w:p>
    <w:p>
      <w:pPr>
        <w:pStyle w:val="BodyText"/>
      </w:pPr>
      <w:r>
        <w:t xml:space="preserve">This example shows how to train and use an Adversarial Autoencoder (AAE) in encode-decode mode: the model compresses windows from p to k dimensions and then reconstructs back to p, enabling evaluation of reconstruction error.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Evaluation: reconstruction quality measured, for example, via R2 and MAPE per window column.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num_epochs</w:t>
      </w:r>
      <w:r>
        <w:t xml:space="preserve">,</w:t>
      </w:r>
      <w:r>
        <w:t xml:space="preserve"> </w:t>
      </w:r>
      <w:r>
        <w:rPr>
          <w:rStyle w:val="VerbatimChar"/>
        </w:rPr>
        <w:t xml:space="preserve">batch_size</w:t>
      </w:r>
      <w:r>
        <w:t xml:space="preserve"> </w:t>
      </w:r>
      <w:r>
        <w:t xml:space="preserve">influence convergence and adversarial stability.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adversarial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autoenc_adv_ed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adv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generated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0.8576337 0.9096393 0.9260868 0.9232257 0.8842417</w:t>
      </w:r>
      <w:r>
        <w:br/>
      </w:r>
      <w:r>
        <w:rPr>
          <w:rStyle w:val="VerbatimChar"/>
        </w:rPr>
        <w:t xml:space="preserve">## [2,] 0.8845979 0.9329191 0.9469912 0.9454218 0.9097760</w:t>
      </w:r>
      <w:r>
        <w:br/>
      </w:r>
      <w:r>
        <w:rPr>
          <w:rStyle w:val="VerbatimChar"/>
        </w:rPr>
        <w:t xml:space="preserve">## [3,] 0.8958009 0.9418942 0.9547969 0.9536744 0.9199443</w:t>
      </w:r>
      <w:r>
        <w:br/>
      </w:r>
      <w:r>
        <w:rPr>
          <w:rStyle w:val="VerbatimChar"/>
        </w:rPr>
        <w:t xml:space="preserve">## [4,] 0.8939812 0.9405263 0.9535182 0.9523173 0.9183015</w:t>
      </w:r>
      <w:r>
        <w:br/>
      </w:r>
      <w:r>
        <w:rPr>
          <w:rStyle w:val="VerbatimChar"/>
        </w:rPr>
        <w:t xml:space="preserve">## [5,] 0.8776266 0.9272050 0.9416381 0.9397333 0.9031091</w:t>
      </w:r>
      <w:r>
        <w:br/>
      </w:r>
      <w:r>
        <w:rPr>
          <w:rStyle w:val="VerbatimChar"/>
        </w:rPr>
        <w:t xml:space="preserve">## [6,] 0.8444961 0.8976923 0.9144374 0.9107234 0.8711892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CommentTok"/>
        </w:rPr>
        <w:t xml:space="preserve"># Note: MAPE can be sensitive to values close to zero.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0.332585734131919 MAPE: 0.166033800236882"</w:t>
      </w:r>
      <w:r>
        <w:br/>
      </w:r>
      <w:r>
        <w:rPr>
          <w:rStyle w:val="VerbatimChar"/>
        </w:rPr>
        <w:t xml:space="preserve">## [1] "t3 R2 test: 0.888406976329992 MAPE: 0.0900354408271632"</w:t>
      </w:r>
      <w:r>
        <w:br/>
      </w:r>
      <w:r>
        <w:rPr>
          <w:rStyle w:val="VerbatimChar"/>
        </w:rPr>
        <w:t xml:space="preserve">## [1] "t2 R2 test: 0.960114424827771 MAPE: 0.0431308898107746"</w:t>
      </w:r>
      <w:r>
        <w:br/>
      </w:r>
      <w:r>
        <w:rPr>
          <w:rStyle w:val="VerbatimChar"/>
        </w:rPr>
        <w:t xml:space="preserve">## [1] "t1 R2 test: 0.911522627223471 MAPE: 0.129756572477852"</w:t>
      </w:r>
      <w:r>
        <w:br/>
      </w:r>
      <w:r>
        <w:rPr>
          <w:rStyle w:val="VerbatimChar"/>
        </w:rPr>
        <w:t xml:space="preserve">## [1] "t0 R2 test: 0.850139987464046 MAPE: 0.314092789103655"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0.78855394999544 MAPE: 0.148609898491265"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Makhzani, A., Shlens, J., Jaitly, N., Goodfellow, I., &amp; Frey, B. (2015). Adversarial Autoencoders. arXiv:1511.05644.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2025-10-29T15:01:33Z</dcterms:created>
  <dcterms:modified xsi:type="dcterms:W3CDTF">2025-10-29T15:01:33Z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