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stm-autoencoder-encode"/>
    <w:p>
      <w:pPr>
        <w:pStyle w:val="Heading2"/>
      </w:pPr>
      <w:r>
        <w:t xml:space="preserve">LSTM Autoencoder (encode)</w:t>
      </w:r>
    </w:p>
    <w:p>
      <w:pPr>
        <w:pStyle w:val="FirstParagraph"/>
      </w:pPr>
      <w:r>
        <w:t xml:space="preserve">LSTM autoencoders use recurrent units to encode temporal dependencies in a sequence (window) into a fixed-sized latent vector. The memory cell and gating mechanisms help capture long- and short-term patterns before decoding or downstream use of the latent code.</w:t>
      </w:r>
    </w:p>
    <w:p>
      <w:pPr>
        <w:pStyle w:val="BodyText"/>
      </w:pPr>
      <w:r>
        <w:t xml:space="preserve">This example demonstrates the use of an LSTM-based Autoencoder to encode windows of a time series. The LSTM encoder learns sequence representations, reducing from p to k dimensions.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LSTM encoder + MLP/decoder to represent time-series windows.</w:t>
      </w:r>
      <w:r>
        <w:t xml:space="preserve"> </w:t>
      </w:r>
      <w:r>
        <w:t xml:space="preserve">- Useful when there is strong temporal dependence within each window.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LSTM autoencoder: reduce from 5 -&gt; 3 dimensions (p -&gt; k)</w:t>
      </w:r>
      <w:r>
        <w:br/>
      </w:r>
      <w:r>
        <w:rPr>
          <w:rStyle w:val="CommentTok"/>
        </w:rPr>
        <w:t xml:space="preserve"># - num_epochs: number of epochs (LSTM may require more epochs to converge)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autoenc_lstm_e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lstm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[,2]      [,3]</w:t>
      </w:r>
      <w:r>
        <w:br/>
      </w:r>
      <w:r>
        <w:rPr>
          <w:rStyle w:val="VerbatimChar"/>
        </w:rPr>
        <w:t xml:space="preserve">## [1,] -0.14467756 0.4670556 0.7065994</w:t>
      </w:r>
      <w:r>
        <w:br/>
      </w:r>
      <w:r>
        <w:rPr>
          <w:rStyle w:val="VerbatimChar"/>
        </w:rPr>
        <w:t xml:space="preserve">## [2,]  0.01322347 0.4908245 0.7115788</w:t>
      </w:r>
      <w:r>
        <w:br/>
      </w:r>
      <w:r>
        <w:rPr>
          <w:rStyle w:val="VerbatimChar"/>
        </w:rPr>
        <w:t xml:space="preserve">## [3,]  0.17634459 0.4931569 0.7126718</w:t>
      </w:r>
      <w:r>
        <w:br/>
      </w:r>
      <w:r>
        <w:rPr>
          <w:rStyle w:val="VerbatimChar"/>
        </w:rPr>
        <w:t xml:space="preserve">## [4,]  0.31505814 0.4739828 0.7102199</w:t>
      </w:r>
      <w:r>
        <w:br/>
      </w:r>
      <w:r>
        <w:rPr>
          <w:rStyle w:val="VerbatimChar"/>
        </w:rPr>
        <w:t xml:space="preserve">## [5,]  0.41524622 0.4303821 0.7039500</w:t>
      </w:r>
      <w:r>
        <w:br/>
      </w:r>
      <w:r>
        <w:rPr>
          <w:rStyle w:val="VerbatimChar"/>
        </w:rPr>
        <w:t xml:space="preserve">## [6,]  0.47787431 0.3574388 0.6929913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Hochreiter, S., &amp; Schmidhuber, J. (1997). Long short-term memory. Neural Computation, 9(8), 1735–1780.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2025-10-29T15:02:13Z</dcterms:created>
  <dcterms:modified xsi:type="dcterms:W3CDTF">2025-10-29T15:02:13Z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