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radient-boosting-classifier---overview"/>
    <w:p>
      <w:pPr>
        <w:pStyle w:val="Heading2"/>
      </w:pPr>
      <w:r>
        <w:t xml:space="preserve">Gradient Boosting Classifier - Overview</w:t>
      </w:r>
    </w:p>
    <w:p>
      <w:pPr>
        <w:pStyle w:val="FirstParagraph"/>
      </w:pPr>
      <w:r>
        <w:t xml:space="preserve">Gradient Boosting builds an additive ensemble of shallow trees by sequentially fitting each tree to the negative gradient (residuals) of a differentiable loss. Learning rate and tree depth control model complexity and generalization.</w:t>
      </w:r>
    </w:p>
    <w:p>
      <w:pPr>
        <w:pStyle w:val="BodyText"/>
      </w:pPr>
      <w:r>
        <w:t xml:space="preserve">This example uses Gradient Boosting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Gradient Boosting Classifier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Gradient Boosting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 (keeping Species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Friedman, J. H. (2001). Greedy function approximation: A gradient boosting machine. Annals of Statistics, 29(5), 1189–1232.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2025-10-29T15:02:50Z</dcterms:created>
  <dcterms:modified xsi:type="dcterms:W3CDTF">2025-10-29T15:02:50Z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