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aive-bayes-classifier"/>
    <w:p>
      <w:pPr>
        <w:pStyle w:val="Heading2"/>
      </w:pPr>
      <w:r>
        <w:t xml:space="preserve">Naive Bayes Classifier</w:t>
      </w:r>
    </w:p>
    <w:p>
      <w:pPr>
        <w:pStyle w:val="FirstParagraph"/>
      </w:pPr>
      <w:r>
        <w:t xml:space="preserve">Naive Bayes applies Bayes’ theorem under a conditional independence assumption: features are assumed independent given the class. Class-conditional likelihoods (e.g., Gaussian) are estimated per class, then combined with class priors to compute posterior probabilities used for classification.</w:t>
      </w:r>
    </w:p>
    <w:p>
      <w:pPr>
        <w:pStyle w:val="BodyText"/>
      </w:pPr>
      <w:r>
        <w:t xml:space="preserve">This example uses Naive Bayes (scikit-learn via reticulate) to classify the Iris dataset.</w:t>
      </w:r>
      <w:r>
        <w:t xml:space="preserve"> </w:t>
      </w:r>
      <w:r>
        <w:t xml:space="preserve">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Naive Bayes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Murphy, K. P. (2012). Machine Learning: A Probabilistic Perspective. MIT Press.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2025-10-29T15:02:51Z</dcterms:created>
  <dcterms:modified xsi:type="dcterms:W3CDTF">2025-10-29T15:02:51Z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