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bc804b58d9476b7a26a42a52c48a4b9b6964fb"/>
    <w:p>
      <w:pPr>
        <w:pStyle w:val="Heading2"/>
      </w:pPr>
      <w:r>
        <w:t xml:space="preserve">22. Autoencoder (Encode-Decode) with Dynamic Validation and Patience</w:t>
      </w:r>
    </w:p>
    <w:p>
      <w:pPr>
        <w:pStyle w:val="FirstParagraph"/>
      </w:pPr>
      <w:r>
        <w:t xml:space="preserve">This example keeps the same simple dense autoencoder architecture, but redraws the validation split at each epoch. It is useful when a single fixed holdout seems too brittle for the available data.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recent validation values stop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realized duration depends on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175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22_autoenc_ed_dynamic_patience_files/55d80df56ce8f33d1b34e7f818cb85bc5426cdb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0.7290429 0.8461144 0.9200037 0.9744797 0.9844502</w:t>
      </w:r>
      <w:r>
        <w:br/>
      </w:r>
      <w:r>
        <w:rPr>
          <w:rStyle w:val="VerbatimChar"/>
        </w:rPr>
        <w:t xml:space="preserve">## 2 0.8335803 0.9215450 0.9894501 1.0038915 0.9936775</w:t>
      </w:r>
      <w:r>
        <w:br/>
      </w:r>
      <w:r>
        <w:rPr>
          <w:rStyle w:val="VerbatimChar"/>
        </w:rPr>
        <w:t xml:space="preserve">## 3 0.9156064 0.9739869 1.0273633 0.9998459 0.9736321</w:t>
      </w:r>
      <w:r>
        <w:br/>
      </w:r>
      <w:r>
        <w:rPr>
          <w:rStyle w:val="VerbatimChar"/>
        </w:rPr>
        <w:t xml:space="preserve">## 4 0.9724877 0.9881872 1.0277418 0.9610165 0.9164619</w:t>
      </w:r>
      <w:r>
        <w:br/>
      </w:r>
      <w:r>
        <w:rPr>
          <w:rStyle w:val="VerbatimChar"/>
        </w:rPr>
        <w:t xml:space="preserve">## 5 1.0024824 0.9712861 0.9892912 0.8996314 0.8318617</w:t>
      </w:r>
      <w:r>
        <w:br/>
      </w:r>
      <w:r>
        <w:rPr>
          <w:rStyle w:val="VerbatimChar"/>
        </w:rPr>
        <w:t xml:space="preserve">## 6 0.9992473 0.9288247 0.9181205 0.8145996 0.7296168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0.98942383870914 MAPE: 0.0105454669958962"</w:t>
      </w:r>
      <w:r>
        <w:br/>
      </w:r>
      <w:r>
        <w:rPr>
          <w:rStyle w:val="VerbatimChar"/>
        </w:rPr>
        <w:t xml:space="preserve">## [1] "t3 R2 test: 0.980764485553091 MAPE: 0.0344917979188342"</w:t>
      </w:r>
      <w:r>
        <w:br/>
      </w:r>
      <w:r>
        <w:rPr>
          <w:rStyle w:val="VerbatimChar"/>
        </w:rPr>
        <w:t xml:space="preserve">## [1] "t2 R2 test: 0.999411036681499 MAPE: 0.030906335023023"</w:t>
      </w:r>
      <w:r>
        <w:br/>
      </w:r>
      <w:r>
        <w:rPr>
          <w:rStyle w:val="VerbatimChar"/>
        </w:rPr>
        <w:t xml:space="preserve">## [1] "t1 R2 test: 0.999484239566261 MAPE: 0.0188664148278626"</w:t>
      </w:r>
      <w:r>
        <w:br/>
      </w:r>
      <w:r>
        <w:rPr>
          <w:rStyle w:val="VerbatimChar"/>
        </w:rPr>
        <w:t xml:space="preserve">## [1] "t0 R2 test: 0.998434259005795 MAPE: 0.0302778116967069"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0.993503571903157 MAPE: 0.0250175652924646"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typically produces a noisier validation curve than the static case.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21_autoenc_ed_static_patience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2026-07-07T20:06:26Z</dcterms:created>
  <dcterms:modified xsi:type="dcterms:W3CDTF">2026-07-07T20:06:26Z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