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</w:t>
      </w:r>
      <w:r>
        <w:br/>
      </w:r>
      <w:r>
        <w:rPr>
          <w:rStyle w:val="VerbatimChar"/>
        </w:rPr>
        <w:t xml:space="preserve">## [1,] "numeric" "numeric" "numeric" "integer" "numeric" "numeric" "numeric"</w:t>
      </w:r>
      <w:r>
        <w:br/>
      </w:r>
      <w:r>
        <w:rPr>
          <w:rStyle w:val="VerbatimChar"/>
        </w:rPr>
        <w:t xml:space="preserve">##      dis       rad       tax       ptratio   black     lstat     medv     </w:t>
      </w:r>
      <w:r>
        <w:br/>
      </w:r>
      <w:r>
        <w:rPr>
          <w:rStyle w:val="VerbatimChar"/>
        </w:rPr>
        <w:t xml:space="preserve">## [1,]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 </w:t>
      </w:r>
      <w:r>
        <w:t xml:space="preserve">now infers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from the fitted predictor set. You can still pass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explicitly, but then it is treated as a consistency check against the training data.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is configured in the object, it is fitted on the predictor columns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 reused during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24.09667 0.1437476 0.5995597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01_torch_reg_mlp_files/5fee8657358be8deecd0aef701cc05133d0a0b1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2026-07-07T20:06:41Z</dcterms:created>
  <dcterms:modified xsi:type="dcterms:W3CDTF">2026-07-07T20:06:41Z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