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organized in three groups: representation/preprocessing, direct prediction, and training-regime studies for the LSTM forecaster.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latent representations and reconstructions work before forecasting</w:t>
      </w:r>
    </w:p>
    <w:p>
      <w:pPr>
        <w:pStyle w:val="Compact"/>
        <w:numPr>
          <w:ilvl w:val="0"/>
          <w:numId w:val="1001"/>
        </w:numPr>
      </w:pPr>
      <w:r>
        <w:t xml:space="preserve">how direct forecasting differs across MLP, Conv1D, and LSTM models</w:t>
      </w:r>
    </w:p>
    <w:p>
      <w:pPr>
        <w:pStyle w:val="Compact"/>
        <w:numPr>
          <w:ilvl w:val="0"/>
          <w:numId w:val="1001"/>
        </w:numPr>
      </w:pPr>
      <w:r>
        <w:t xml:space="preserve">how static and dynamic validation affect LSTM training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BodyText"/>
      </w:pPr>
      <w:r>
        <w:t xml:space="preserve">Representation / preprocessing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01_ts_encode.md</w:t>
        </w:r>
      </w:hyperlink>
      <w:r>
        <w:t xml:space="preserve"> </w:t>
      </w:r>
      <w:r>
        <w:t xml:space="preserve">— Encodes windows (p-&gt;k) into compact latent vectors for downstream use.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02_ts_encode-decode.md</w:t>
        </w:r>
      </w:hyperlink>
      <w:r>
        <w:t xml:space="preserve"> </w:t>
      </w:r>
      <w:r>
        <w:t xml:space="preserve">— Encodes and reconstructs (p&lt;-&gt;k) to inspect reconstruction quality before forecasting tasks.</w:t>
      </w:r>
    </w:p>
    <w:p>
      <w:pPr>
        <w:pStyle w:val="BodyText"/>
      </w:pP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11_torch_ts_mlp.md</w:t>
        </w:r>
      </w:hyperlink>
      <w:r>
        <w:t xml:space="preserve"> </w:t>
      </w:r>
      <w:r>
        <w:t xml:space="preserve">— One-step-ahead forecasting with a feedforward PyTorch MLP.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12_ts_conv1d.md</w:t>
        </w:r>
      </w:hyperlink>
      <w:r>
        <w:t xml:space="preserve"> </w:t>
      </w:r>
      <w:r>
        <w:t xml:space="preserve">— One-step-ahead forecasting with a PyTorch Conv1D model.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13_ts_lstm.md</w:t>
        </w:r>
      </w:hyperlink>
      <w:r>
        <w:t xml:space="preserve"> </w:t>
      </w:r>
      <w:r>
        <w:t xml:space="preserve">— One-step-ahead forecasting with a PyTorch LSTM under the standard training flow.</w:t>
      </w:r>
    </w:p>
    <w:p>
      <w:pPr>
        <w:pStyle w:val="BodyText"/>
      </w:pPr>
      <w:r>
        <w:t xml:space="preserve">LSTM training regimes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21_ts_lstm_static_patience.md</w:t>
        </w:r>
      </w:hyperlink>
      <w:r>
        <w:t xml:space="preserve"> </w:t>
      </w:r>
      <w:r>
        <w:t xml:space="preserve">— LSTM forecasting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22_ts_lstm_dynamic_patience.md</w:t>
        </w:r>
      </w:hyperlink>
      <w:r>
        <w:t xml:space="preserve"> </w:t>
      </w:r>
      <w:r>
        <w:t xml:space="preserve">— LSTM forecasting with dynamic validation and patience-based early stopping.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2026-07-07T20:07:06Z</dcterms:created>
  <dcterms:modified xsi:type="dcterms:W3CDTF">2026-07-07T20:07:06Z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