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These examples show how the Python-backed models in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fit into a time-series workflow based on sliding windows. They are the shortest path if the goal is to understand the end-to-end transformation from a raw series into latent representations and reconstructed windows.</w:t>
      </w:r>
    </w:p>
    <w:p>
      <w:pPr>
        <w:pStyle w:val="BodyText"/>
      </w:pPr>
      <w:r>
        <w:t xml:space="preserve">Use this section when you want to see:</w:t>
      </w:r>
    </w:p>
    <w:p>
      <w:pPr>
        <w:numPr>
          <w:ilvl w:val="0"/>
          <w:numId w:val="1001"/>
        </w:numPr>
      </w:pPr>
      <w:r>
        <w:t xml:space="preserve">how a univariate series is converted into windows of length</w:t>
      </w:r>
      <w:r>
        <w:t xml:space="preserve"> </w:t>
      </w:r>
      <w:r>
        <w:rPr>
          <w:rStyle w:val="VerbatimChar"/>
        </w:rPr>
        <w:t xml:space="preserve">p</w:t>
      </w:r>
    </w:p>
    <w:p>
      <w:pPr>
        <w:numPr>
          <w:ilvl w:val="0"/>
          <w:numId w:val="1001"/>
        </w:numPr>
      </w:pPr>
      <w:r>
        <w:t xml:space="preserve">how an autoencoder compresses those windows into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latent dimensions</w:t>
      </w:r>
    </w:p>
    <w:p>
      <w:pPr>
        <w:numPr>
          <w:ilvl w:val="0"/>
          <w:numId w:val="1001"/>
        </w:numPr>
      </w:pPr>
      <w:r>
        <w:t xml:space="preserve">how reconstruction error helps evaluate the quality of the learned representation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ts_lstm.md</w:t>
        </w:r>
      </w:hyperlink>
      <w:r>
        <w:t xml:space="preserve"> </w:t>
      </w:r>
      <w:r>
        <w:t xml:space="preserve">— Forecasts one step ahead from lagged windows using a PyTorch LSTM with unified validation/stopping options.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ts_conv1d.md</w:t>
        </w:r>
      </w:hyperlink>
      <w:r>
        <w:t xml:space="preserve"> </w:t>
      </w:r>
      <w:r>
        <w:t xml:space="preserve">— Forecasts one step ahead from lagged windows using a PyTorch Conv1D model.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s_conv1d.md" TargetMode="External" /><Relationship Type="http://schemas.openxmlformats.org/officeDocument/2006/relationships/hyperlink" Id="rId10" Target="ts_encode-decode.md" TargetMode="External" /><Relationship Type="http://schemas.openxmlformats.org/officeDocument/2006/relationships/hyperlink" Id="rId9" Target="ts_encode.md" TargetMode="External" /><Relationship Type="http://schemas.openxmlformats.org/officeDocument/2006/relationships/hyperlink" Id="rId11" Target="ts_lst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2026-05-06T23:30:06Z</dcterms:created>
  <dcterms:modified xsi:type="dcterms:W3CDTF">2026-05-06T23:30:06Z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