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bbc804b58d9476b7a26a42a52c48a4b9b6964fb"/>
    <w:p>
      <w:pPr>
        <w:pStyle w:val="Heading2"/>
      </w:pPr>
      <w:r>
        <w:t xml:space="preserve">22. Autoencoder (Encode-Decode) with Dynamic Validation and Patience</w:t>
      </w:r>
    </w:p>
    <w:p>
      <w:pPr>
        <w:pStyle w:val="FirstParagraph"/>
      </w:pPr>
      <w:r>
        <w:t xml:space="preserve">This example keeps the same simple dense autoencoder architecture, but redraws the validation split at each epoch. It is useful when a single fixed holdout seems too brittle for the available data.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recent validation values stop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realized duration depends on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103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2_autoenc_ed_dynamic_patience_files/0f896b62a27d6c023c0029b1e44de3529ebefdc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0.8251413 0.8268962 0.8942189 0.9266616 0.9361824</w:t>
      </w:r>
      <w:r>
        <w:br/>
      </w:r>
      <w:r>
        <w:rPr>
          <w:rStyle w:val="VerbatimChar"/>
        </w:rPr>
        <w:t xml:space="preserve">## 2 0.8985487 0.8674385 0.9570907 0.9917051 0.9860953</w:t>
      </w:r>
      <w:r>
        <w:br/>
      </w:r>
      <w:r>
        <w:rPr>
          <w:rStyle w:val="VerbatimChar"/>
        </w:rPr>
        <w:t xml:space="preserve">## 3 0.9356878 0.8850247 0.9845787 1.0193062 1.0024128</w:t>
      </w:r>
      <w:r>
        <w:br/>
      </w:r>
      <w:r>
        <w:rPr>
          <w:rStyle w:val="VerbatimChar"/>
        </w:rPr>
        <w:t xml:space="preserve">## 4 0.9409012 0.8840250 0.9824263 1.0135771 0.9901335</w:t>
      </w:r>
      <w:r>
        <w:br/>
      </w:r>
      <w:r>
        <w:rPr>
          <w:rStyle w:val="VerbatimChar"/>
        </w:rPr>
        <w:t xml:space="preserve">## 5 0.9165682 0.8630024 0.9509660 0.9795538 0.9490173</w:t>
      </w:r>
      <w:r>
        <w:br/>
      </w:r>
      <w:r>
        <w:rPr>
          <w:rStyle w:val="VerbatimChar"/>
        </w:rPr>
        <w:t xml:space="preserve">## 6 0.8626755 0.8241584 0.8919773 0.9153733 0.8803396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0.392486674949192 MAPE: 0.166432082049883"</w:t>
      </w:r>
      <w:r>
        <w:br/>
      </w:r>
      <w:r>
        <w:rPr>
          <w:rStyle w:val="VerbatimChar"/>
        </w:rPr>
        <w:t xml:space="preserve">## [1] "t3 R2 test: 0.897448815682921 MAPE: 0.109959303463912"</w:t>
      </w:r>
      <w:r>
        <w:br/>
      </w:r>
      <w:r>
        <w:rPr>
          <w:rStyle w:val="VerbatimChar"/>
        </w:rPr>
        <w:t xml:space="preserve">## [1] "t2 R2 test: 0.99963453543094 MAPE: 0.0109648903068286"</w:t>
      </w:r>
      <w:r>
        <w:br/>
      </w:r>
      <w:r>
        <w:rPr>
          <w:rStyle w:val="VerbatimChar"/>
        </w:rPr>
        <w:t xml:space="preserve">## [1] "t1 R2 test: 0.961305796521828 MAPE: 0.130599205140048"</w:t>
      </w:r>
      <w:r>
        <w:br/>
      </w:r>
      <w:r>
        <w:rPr>
          <w:rStyle w:val="VerbatimChar"/>
        </w:rPr>
        <w:t xml:space="preserve">## [1] "t0 R2 test: 0.934899869477212 MAPE: 0.287446766368574"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0.837155138412419 MAPE: 0.141080449465849"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typically produces a noisier validation curve than the static case.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21_autoenc_ed_static_patience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2026-05-14T04:14:41Z</dcterms:created>
  <dcterms:modified xsi:type="dcterms:W3CDTF">2026-05-14T04:14:41Z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