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classifier now supports configurable hidden activation, hidden normalization, and weight initialization, in addition to the existing hidden-size and dropout controls.</w:t>
      </w:r>
    </w:p>
    <w:p>
      <w:pPr>
        <w:pStyle w:val="BodyText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Across these examples,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a class-score table with one row per case and one column per class. When the Python backend exposes probabilities, those are returned directly; otherwise the package falls back to a compatible score representation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used in the same way.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pStyle w:val="Compact"/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pStyle w:val="FirstParagraph"/>
      </w:pPr>
      <w:r>
        <w:t xml:space="preserve">Scikit-learn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01_skcla_knn.md</w:t>
        </w:r>
      </w:hyperlink>
      <w:r>
        <w:t xml:space="preserve"> </w:t>
      </w:r>
      <w:r>
        <w:t xml:space="preserve">— K-Nearest Neighbors: predicts by majority vote among the k nearest neighbors.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05_skcla_gb.md</w:t>
        </w:r>
      </w:hyperlink>
      <w:r>
        <w:t xml:space="preserve"> </w:t>
      </w:r>
      <w:r>
        <w:t xml:space="preserve">— Gradient Boosting: additive ensemble of trees fit to gradients of the loss.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08_torch_cla_mlp_dynamic_patience.md</w:t>
        </w:r>
      </w:hyperlink>
      <w:r>
        <w:t xml:space="preserve"> </w:t>
      </w:r>
      <w:r>
        <w:t xml:space="preserve">— PyTorch MLP classifier with dynamic validation and patience-based early stopping.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2026-05-14T04:14:53Z</dcterms:created>
  <dcterms:modified xsi:type="dcterms:W3CDTF">2026-05-14T04:14:53Z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