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gpu-environment-and-device-checks"/>
    <w:p>
      <w:pPr>
        <w:pStyle w:val="Heading1"/>
      </w:pPr>
      <w:r>
        <w:t xml:space="preserve">GPU — Environment And Device Checks</w:t>
      </w:r>
    </w:p>
    <w:p>
      <w:pPr>
        <w:pStyle w:val="FirstParagraph"/>
      </w:pPr>
      <w:r>
        <w:t xml:space="preserve">Use this section before running the PyTorch-backed examples in</w:t>
      </w:r>
      <w:r>
        <w:t xml:space="preserve"> </w:t>
      </w:r>
      <w:r>
        <w:rPr>
          <w:rStyle w:val="VerbatimChar"/>
        </w:rPr>
        <w:t xml:space="preserve">daltoolboxdp</w:t>
      </w:r>
      <w:r>
        <w:t xml:space="preserve">. The goal is to make the Python environment selected by</w:t>
      </w:r>
      <w:r>
        <w:t xml:space="preserve"> </w:t>
      </w:r>
      <w:r>
        <w:rPr>
          <w:rStyle w:val="VerbatimChar"/>
        </w:rPr>
        <w:t xml:space="preserve">reticulate</w:t>
      </w:r>
      <w:r>
        <w:t xml:space="preserve"> </w:t>
      </w:r>
      <w:r>
        <w:t xml:space="preserve">explicit and to confirm whether PyTorch will execute on GPU or CPU.</w:t>
      </w:r>
    </w:p>
    <w:p>
      <w:pPr>
        <w:pStyle w:val="BodyText"/>
      </w:pPr>
      <w:r>
        <w:t xml:space="preserve">This page helps answer:</w:t>
      </w:r>
    </w:p>
    <w:p>
      <w:pPr>
        <w:numPr>
          <w:ilvl w:val="0"/>
          <w:numId w:val="1001"/>
        </w:numPr>
      </w:pPr>
      <w:r>
        <w:t xml:space="preserve">which Python interpreter</w:t>
      </w:r>
      <w:r>
        <w:t xml:space="preserve"> </w:t>
      </w:r>
      <w:r>
        <w:rPr>
          <w:rStyle w:val="VerbatimChar"/>
        </w:rPr>
        <w:t xml:space="preserve">reticulate</w:t>
      </w:r>
      <w:r>
        <w:t xml:space="preserve"> </w:t>
      </w:r>
      <w:r>
        <w:t xml:space="preserve">is bound to</w:t>
      </w:r>
    </w:p>
    <w:p>
      <w:pPr>
        <w:numPr>
          <w:ilvl w:val="0"/>
          <w:numId w:val="1001"/>
        </w:numPr>
      </w:pPr>
      <w:r>
        <w:t xml:space="preserve">whether the selected environment exposes a CUDA-enabled PyTorch build</w:t>
      </w:r>
    </w:p>
    <w:p>
      <w:pPr>
        <w:numPr>
          <w:ilvl w:val="0"/>
          <w:numId w:val="1001"/>
        </w:numPr>
      </w:pPr>
      <w:r>
        <w:t xml:space="preserve">how to force CPU execution or restrict execution to a specific GPU</w:t>
      </w:r>
    </w:p>
    <w:p>
      <w:pPr>
        <w:numPr>
          <w:ilvl w:val="0"/>
          <w:numId w:val="1001"/>
        </w:numPr>
      </w:pPr>
      <w:r>
        <w:t xml:space="preserve">how to monitor device usage while DAL examples are running</w:t>
      </w:r>
    </w:p>
    <w:p>
      <w:pPr>
        <w:numPr>
          <w:ilvl w:val="0"/>
          <w:numId w:val="1001"/>
        </w:numPr>
      </w:pPr>
      <w:hyperlink r:id="rId9">
        <w:r>
          <w:rPr>
            <w:rStyle w:val="Hyperlink"/>
          </w:rPr>
          <w:t xml:space="preserve">00_environment.md</w:t>
        </w:r>
      </w:hyperlink>
      <w:r>
        <w:t xml:space="preserve"> </w:t>
      </w:r>
      <w:r>
        <w:t xml:space="preserve">— Select the Python environment used by</w:t>
      </w:r>
      <w:r>
        <w:t xml:space="preserve"> </w:t>
      </w:r>
      <w:r>
        <w:rPr>
          <w:rStyle w:val="VerbatimChar"/>
        </w:rPr>
        <w:t xml:space="preserve">reticulate</w:t>
      </w:r>
      <w:r>
        <w:t xml:space="preserve">, verify PyTorch visibility, and confirm whether the backend will run on GPU or CPU.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0_environme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0_environme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2026-07-07T20:06:35Z</dcterms:created>
  <dcterms:modified xsi:type="dcterms:W3CDTF">2026-07-07T20:06:35Z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