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conv1d-regression"/>
    <w:p>
      <w:pPr>
        <w:pStyle w:val="Heading2"/>
      </w:pPr>
      <w:r>
        <w:t xml:space="preserve">Conv1D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A 1D convolutional network applies learnable filters across the lag window to detect local temporal motifs.</w:t>
      </w:r>
      <w:r>
        <w:t xml:space="preserve"> </w:t>
      </w:r>
      <w:r>
        <w:t xml:space="preserve">- It is useful when short repeated patterns matter more than long global recurrence alone.</w:t>
      </w:r>
    </w:p>
    <w:p>
      <w:pPr>
        <w:pStyle w:val="BodyText"/>
      </w:pPr>
      <w:r>
        <w:t xml:space="preserve">Didactic goal: understand how convolution changes the representation learned from sliding windows, while keeping the same Experiment Line used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- 1D CNN (Conv1D)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12_ts_conv1d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This step trains the Conv1D model.</w:t>
      </w:r>
    </w:p>
    <w:p>
      <w:pPr>
        <w:pStyle w:val="SourceCode"/>
      </w:pPr>
      <w:r>
        <w:rPr>
          <w:rStyle w:val="CommentTok"/>
        </w:rPr>
        <w:t xml:space="preserve"># Training the Conv1D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ts_conv1d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value,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final curve plot always shows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in_channels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 </w:t>
      </w:r>
      <w:r>
        <w:t xml:space="preserve">control how each row is reshaped before the convolution.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conv_channels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kernel_sizes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strides</w:t>
      </w:r>
      <w:r>
        <w:t xml:space="preserve"> </w:t>
      </w:r>
      <w:r>
        <w:t xml:space="preserve">define the convolutional stack.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pooling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dense_hidden_sizes</w:t>
      </w:r>
      <w:r>
        <w:t xml:space="preserve"> </w:t>
      </w:r>
      <w:r>
        <w:t xml:space="preserve">control feature aggregation and the regression head.</w:t>
      </w:r>
    </w:p>
    <w:p>
      <w:pPr>
        <w:pStyle w:val="BodyText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0.0001007099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0.43476895  0.21081667 -0.02554476 -0.26861302 -0.48919488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0.3019954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0.001986961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0.9828385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mse     smape        R2</w:t>
      </w:r>
      <w:r>
        <w:br/>
      </w:r>
      <w:r>
        <w:rPr>
          <w:rStyle w:val="VerbatimChar"/>
        </w:rPr>
        <w:t xml:space="preserve">## 1 0.001986961 0.3019954 0.9828385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12_ts_conv1d_files/747c8d7d2823f2980432f68d59860468134645b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additional plot below shows the training curve and, when enabled, the validation curve used by the unified early-stopping strategies.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12_ts_conv1d_files/f5681039d2c1348d4ecce8927996ffbad5add564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The default configuration is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, so only the training curve is shown.</w:t>
      </w:r>
      <w:r>
        <w:t xml:space="preserve"> </w:t>
      </w:r>
      <w:r>
        <w:t xml:space="preserve">- To display validation loss as well, use an early-stopping rule such as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combine dynamic validation with those criteria, set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Y. LeCun, L. Bottou, Y. Bengio, and P. Haffner (1998). Gradient-based learning applied to document recognition. Proceedings of the IEEE, 86(11), 2278–2324.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2026-05-14T12:56:50Z</dcterms:created>
  <dcterms:modified xsi:type="dcterms:W3CDTF">2026-05-14T12:56:50Z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