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3" w:name="dal-toolbox-dp-examples"/>
    <w:p>
      <w:pPr>
        <w:pStyle w:val="Heading1"/>
      </w:pPr>
      <w:r>
        <w:t xml:space="preserve">DAL Toolbox DP Examples</w:t>
      </w:r>
    </w:p>
    <w:p>
      <w:pPr>
        <w:pStyle w:val="FirstParagraph"/>
      </w:pPr>
      <w:r>
        <w:t xml:space="preserve">This directory contains the source</w:t>
      </w:r>
      <w:r>
        <w:t xml:space="preserve"> </w:t>
      </w:r>
      <w:r>
        <w:rPr>
          <w:rStyle w:val="VerbatimChar"/>
        </w:rPr>
        <w:t xml:space="preserve">Rmd</w:t>
      </w:r>
      <w:r>
        <w:t xml:space="preserve"> </w:t>
      </w:r>
      <w:r>
        <w:t xml:space="preserve">files used to generate the example pages under</w:t>
      </w:r>
      <w:r>
        <w:t xml:space="preserve"> </w:t>
      </w:r>
      <w:r>
        <w:rPr>
          <w:rStyle w:val="VerbatimChar"/>
        </w:rPr>
        <w:t xml:space="preserve">examples/</w:t>
      </w:r>
      <w:r>
        <w:t xml:space="preserve">. If you are exploring the package for the first time, the best path is to choose a topic below and open the generated example index in</w:t>
      </w:r>
      <w:r>
        <w:t xml:space="preserve"> </w:t>
      </w:r>
      <w:r>
        <w:rPr>
          <w:rStyle w:val="VerbatimChar"/>
        </w:rPr>
        <w:t xml:space="preserve">examples/</w:t>
      </w:r>
      <w:r>
        <w:t xml:space="preserve">, where the rendered</w:t>
      </w:r>
      <w:r>
        <w:t xml:space="preserve"> </w:t>
      </w:r>
      <w:r>
        <w:rPr>
          <w:rStyle w:val="VerbatimChar"/>
        </w:rPr>
        <w:t xml:space="preserve">.md</w:t>
      </w:r>
      <w:r>
        <w:t xml:space="preserve"> </w:t>
      </w:r>
      <w:r>
        <w:t xml:space="preserve">files live.</w:t>
      </w:r>
    </w:p>
    <w:p>
      <w:pPr>
        <w:pStyle w:val="BodyText"/>
      </w:pPr>
      <w:r>
        <w:t xml:space="preserve">The topics are organized to answer different questions:</w:t>
      </w:r>
    </w:p>
    <w:p>
      <w:pPr>
        <w:numPr>
          <w:ilvl w:val="0"/>
          <w:numId w:val="1001"/>
        </w:numPr>
      </w:pPr>
      <w:r>
        <w:t xml:space="preserve">Which Python-backed autoencoder should I use for representation only versus reconstruction-aware workflows?</w:t>
      </w:r>
    </w:p>
    <w:p>
      <w:pPr>
        <w:numPr>
          <w:ilvl w:val="0"/>
          <w:numId w:val="1001"/>
        </w:numPr>
      </w:pPr>
      <w:r>
        <w:t xml:space="preserve">Which classification examples are grouped under scikit-learn and PyTorch neural models?</w:t>
      </w:r>
    </w:p>
    <w:p>
      <w:pPr>
        <w:numPr>
          <w:ilvl w:val="0"/>
          <w:numId w:val="1001"/>
        </w:numPr>
      </w:pPr>
      <w:r>
        <w:t xml:space="preserve">Which PyTorch regression examples are available for base, static-validation, and dynamic-validation workflows?</w:t>
      </w:r>
    </w:p>
    <w:p>
      <w:pPr>
        <w:numPr>
          <w:ilvl w:val="0"/>
          <w:numId w:val="1001"/>
        </w:numPr>
      </w:pPr>
      <w:r>
        <w:t xml:space="preserve">How do the time-series examples separate representation/preprocessing, direct prediction, and LSTM training regimes?</w:t>
      </w:r>
    </w:p>
    <w:p>
      <w:pPr>
        <w:numPr>
          <w:ilvl w:val="0"/>
          <w:numId w:val="1001"/>
        </w:numPr>
      </w:pPr>
      <w:hyperlink r:id="rId9">
        <w:r>
          <w:rPr>
            <w:rStyle w:val="Hyperlink"/>
          </w:rPr>
          <w:t xml:space="preserve">autoencoder</w:t>
        </w:r>
      </w:hyperlink>
      <w:r>
        <w:t xml:space="preserve"> </w:t>
      </w:r>
      <w:r>
        <w:t xml:space="preserve">— Autoencoder examples split between encoder-only use cases and encoder-decoder reconstruction workflows.</w:t>
      </w:r>
    </w:p>
    <w:p>
      <w:pPr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classification</w:t>
        </w:r>
      </w:hyperlink>
      <w:r>
        <w:t xml:space="preserve"> </w:t>
      </w:r>
      <w:r>
        <w:t xml:space="preserve">— Classification examples grouped into scikit-learn (</w:t>
      </w:r>
      <w:r>
        <w:rPr>
          <w:rStyle w:val="VerbatimChar"/>
        </w:rPr>
        <w:t xml:space="preserve">01</w:t>
      </w:r>
      <w:r>
        <w:t xml:space="preserve">-</w:t>
      </w:r>
      <w:r>
        <w:rPr>
          <w:rStyle w:val="VerbatimChar"/>
        </w:rPr>
        <w:t xml:space="preserve">06</w:t>
      </w:r>
      <w:r>
        <w:t xml:space="preserve">) and PyTorch (</w:t>
      </w:r>
      <w:r>
        <w:rPr>
          <w:rStyle w:val="VerbatimChar"/>
        </w:rPr>
        <w:t xml:space="preserve">07</w:t>
      </w:r>
      <w:r>
        <w:t xml:space="preserve">-</w:t>
      </w:r>
      <w:r>
        <w:rPr>
          <w:rStyle w:val="VerbatimChar"/>
        </w:rPr>
        <w:t xml:space="preserve">08</w:t>
      </w:r>
      <w:r>
        <w:t xml:space="preserve">) blocks.</w:t>
      </w:r>
    </w:p>
    <w:p>
      <w:pPr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regression</w:t>
        </w:r>
      </w:hyperlink>
      <w:r>
        <w:t xml:space="preserve"> </w:t>
      </w:r>
      <w:r>
        <w:t xml:space="preserve">— Regression examples organized around the PyTorch MLP regressor, including base, static-validation, and dynamic-validation variants.</w:t>
      </w:r>
    </w:p>
    <w:p>
      <w:pPr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timeseries</w:t>
        </w:r>
      </w:hyperlink>
      <w:r>
        <w:t xml:space="preserve"> </w:t>
      </w:r>
      <w:r>
        <w:t xml:space="preserve">— Time-series examples grouped into representation/preprocessing, direct prediction, and LSTM early-stopping regimes.</w:t>
      </w:r>
    </w:p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autoencoder/README.md" TargetMode="External" /><Relationship Type="http://schemas.openxmlformats.org/officeDocument/2006/relationships/hyperlink" Id="rId10" Target="classification/README.md" TargetMode="External" /><Relationship Type="http://schemas.openxmlformats.org/officeDocument/2006/relationships/hyperlink" Id="rId11" Target="regression/README.md" TargetMode="External" /><Relationship Type="http://schemas.openxmlformats.org/officeDocument/2006/relationships/hyperlink" Id="rId12" Target="timeseries/README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autoencoder/README.md" TargetMode="External" /><Relationship Type="http://schemas.openxmlformats.org/officeDocument/2006/relationships/hyperlink" Id="rId10" Target="classification/README.md" TargetMode="External" /><Relationship Type="http://schemas.openxmlformats.org/officeDocument/2006/relationships/hyperlink" Id="rId11" Target="regression/README.md" TargetMode="External" /><Relationship Type="http://schemas.openxmlformats.org/officeDocument/2006/relationships/hyperlink" Id="rId12" Target="timeseries/README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2026-05-12T17:40:48Z</dcterms:created>
  <dcterms:modified xsi:type="dcterms:W3CDTF">2026-05-12T17:40:48Z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