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regressor now supports configurable hidden activation, output activation, hidden normalization, and weight initialization, beyond hidden-size and dropout tuning.</w:t>
      </w:r>
    </w:p>
    <w:p>
      <w:pPr>
        <w:pStyle w:val="BodyText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01_torch_reg_mlp.md</w:t>
        </w:r>
      </w:hyperlink>
      <w:r>
        <w:t xml:space="preserve"> </w:t>
      </w:r>
      <w:r>
        <w:t xml:space="preserve">— Base PyTorch MLP regressor example for numeric prediction.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02_torch_reg_mlp_static_patience.md</w:t>
        </w:r>
      </w:hyperlink>
      <w:r>
        <w:t xml:space="preserve"> </w:t>
      </w:r>
      <w:r>
        <w:t xml:space="preserve">— PyTorch MLP regressor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03_torch_reg_mlp_dynamic_patience.md</w:t>
        </w:r>
      </w:hyperlink>
      <w:r>
        <w:t xml:space="preserve"> </w:t>
      </w:r>
      <w:r>
        <w:t xml:space="preserve">— PyTorch MLP regressor with dynamic validation and patience-based early stopping.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2026-05-12T17:41:04Z</dcterms:created>
  <dcterms:modified xsi:type="dcterms:W3CDTF">2026-05-12T17:41:04Z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