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8e8df90c4d22cb7cfd6f402f652063daf7216f9"/>
    <w:p>
      <w:pPr>
        <w:pStyle w:val="Heading2"/>
      </w:pPr>
      <w:r>
        <w:t xml:space="preserve">21. LSTM Regression with Static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a fixed validation partition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validation subset fixed across the whole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stops improving for the configured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 here; the effective training length is controlled by early stopping.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example emphasizes interpretability of the validation curve, because all epochs are judged against the same holdout partition.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0.0006032538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0.40"   "0.17, 0.18"   "-0.08, -0.05" "-0.32, -0.29" "-0.54, -0.53"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0.0003237804 0.1067715 0.9972035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10.68"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73b898f8f6c2b5f540f3902d65b77c6a502271e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3d4a3f3729e21646d9c5fa7f4049d0b85f9b436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165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configuration is useful when you want a stable validation reference across epochs.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22_ts_lstm_dynamic_patience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2026-05-12T17:41:22Z</dcterms:created>
  <dcterms:modified xsi:type="dcterms:W3CDTF">2026-05-12T17:41:22Z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