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lstm-autoencoder-encode"/>
    <w:p>
      <w:pPr>
        <w:pStyle w:val="Heading2"/>
      </w:pPr>
      <w:r>
        <w:t xml:space="preserve">LSTM Autoencoder (encode)</w:t>
      </w:r>
    </w:p>
    <w:p>
      <w:pPr>
        <w:pStyle w:val="FirstParagraph"/>
      </w:pPr>
      <w:r>
        <w:t xml:space="preserve">LSTM autoencoders use recurrent units to encode temporal dependencies in a sequence (window) into a fixed-sized latent vector. The memory cell and gating mechanisms help capture long- and short-term patterns before decoding or downstream use of the latent code.</w:t>
      </w:r>
    </w:p>
    <w:p>
      <w:pPr>
        <w:pStyle w:val="BodyText"/>
      </w:pPr>
      <w:r>
        <w:t xml:space="preserve">This example demonstrates the use of an LSTM-based Autoencoder to encode windows of a time series. The LSTM encoder learns sequence representations, reducing from p to k dimensions.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Architecture: LSTM encoder + MLP/decoder to represent time-series windows.</w:t>
      </w:r>
      <w:r>
        <w:t xml:space="preserve"> </w:t>
      </w:r>
      <w:r>
        <w:t xml:space="preserve">- Useful when there is strong temporal dependence within each window.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autoencoder: reduce from 5 -&gt; 3 dimensions (p -&gt; k)</w:t>
      </w:r>
      <w:r>
        <w:br/>
      </w:r>
      <w:r>
        <w:rPr>
          <w:rStyle w:val="CommentTok"/>
        </w:rPr>
        <w:t xml:space="preserve"># - num_epochs: number of epochs (LSTM may require more epochs to converge)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lstm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[,2]      [,3]</w:t>
      </w:r>
      <w:r>
        <w:br/>
      </w:r>
      <w:r>
        <w:rPr>
          <w:rStyle w:val="VerbatimChar"/>
        </w:rPr>
        <w:t xml:space="preserve">## [1,] -0.13925961 0.4619569 0.7068782</w:t>
      </w:r>
      <w:r>
        <w:br/>
      </w:r>
      <w:r>
        <w:rPr>
          <w:rStyle w:val="VerbatimChar"/>
        </w:rPr>
        <w:t xml:space="preserve">## [2,]  0.01797055 0.4864177 0.7118235</w:t>
      </w:r>
      <w:r>
        <w:br/>
      </w:r>
      <w:r>
        <w:rPr>
          <w:rStyle w:val="VerbatimChar"/>
        </w:rPr>
        <w:t xml:space="preserve">## [3,]  0.17971766 0.4891516 0.7129011</w:t>
      </w:r>
      <w:r>
        <w:br/>
      </w:r>
      <w:r>
        <w:rPr>
          <w:rStyle w:val="VerbatimChar"/>
        </w:rPr>
        <w:t xml:space="preserve">## [4,]  0.31696999 0.4701421 0.7104502</w:t>
      </w:r>
      <w:r>
        <w:br/>
      </w:r>
      <w:r>
        <w:rPr>
          <w:rStyle w:val="VerbatimChar"/>
        </w:rPr>
        <w:t xml:space="preserve">## [5,]  0.41607249 0.4265247 0.7041957</w:t>
      </w:r>
      <w:r>
        <w:br/>
      </w:r>
      <w:r>
        <w:rPr>
          <w:rStyle w:val="VerbatimChar"/>
        </w:rPr>
        <w:t xml:space="preserve">## [6,]  0.47805867 0.3534575 0.6932636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Hochreiter, S., &amp; Schmidhuber, J. (1997). Long short-term memory. Neural Computation, 9(8), 1735–1780.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2026-03-10T20:46:31Z</dcterms:created>
  <dcterms:modified xsi:type="dcterms:W3CDTF">2026-03-10T20:46:31Z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