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me-series-examples"/>
    <w:p>
      <w:pPr>
        <w:pStyle w:val="Heading1"/>
      </w:pPr>
      <w:r>
        <w:t xml:space="preserve">Time Series — Examples</w:t>
      </w:r>
    </w:p>
    <w:p>
      <w:pPr>
        <w:pStyle w:val="FirstParagraph"/>
      </w:pPr>
      <w:r>
        <w:t xml:space="preserve">Examples of encoding (encode) and reconstruction (encode-decode) of time-series windows using autoencoders. Each link includes a short description.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ts_encode.md</w:t>
        </w:r>
      </w:hyperlink>
      <w:r>
        <w:t xml:space="preserve"> </w:t>
      </w:r>
      <w:r>
        <w:t xml:space="preserve">— Encodes windows (p-&gt;k) using an autoencoder; the bottleneck provides a compact representation for downstream use.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ts_encode-decode.md</w:t>
        </w:r>
      </w:hyperlink>
      <w:r>
        <w:t xml:space="preserve"> </w:t>
      </w:r>
      <w:r>
        <w:t xml:space="preserve">— Encodes and reconstructs (p&lt;-&gt;k) to evaluate quality via reconstruction error.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ts_encode-decode.md" TargetMode="External" /><Relationship Type="http://schemas.openxmlformats.org/officeDocument/2006/relationships/hyperlink" Id="rId20" Target="ts_en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2026-03-10T20:47:15Z</dcterms:created>
  <dcterms:modified xsi:type="dcterms:W3CDTF">2026-03-10T20:47:15Z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