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ss-balance-oversampling"/>
    <w:p>
      <w:pPr>
        <w:pStyle w:val="Heading2"/>
      </w:pPr>
      <w:r>
        <w:t xml:space="preserve">Class Balance: Oversampling</w:t>
      </w:r>
    </w:p>
    <w:p>
      <w:pPr>
        <w:pStyle w:val="FirstParagraph"/>
      </w:pPr>
      <w:r>
        <w:t xml:space="preserve">Random oversampling increases the representation of the minority class by replicating existing minority samples until a desired class balance is reached. It is simple and effective but may increase overfitting by duplicating examples.</w:t>
      </w:r>
    </w:p>
    <w:p>
      <w:pPr>
        <w:pStyle w:val="BodyText"/>
      </w:pPr>
      <w:r>
        <w:t xml:space="preserve">This example shows how to handle class imbalance by applying oversampling (increase the minority class) on an imbalanced subset of the Iris dataset.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Example data and creation of artificial imbalance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(iris)</w:t>
      </w:r>
      <w:r>
        <w:br/>
      </w:r>
      <w:r>
        <w:rPr>
          <w:rStyle w:val="NormalTok"/>
        </w:rPr>
        <w:t xml:space="preserve">mod_iris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),]   </w:t>
      </w:r>
      <w:r>
        <w:rPr>
          <w:rStyle w:val="CommentTok"/>
        </w:rPr>
        <w:t xml:space="preserve"># subset with imbalanced classes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(mod_iris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    </w:t>
      </w:r>
      <w:r>
        <w:rPr>
          <w:rStyle w:val="CommentTok"/>
        </w:rPr>
        <w:t xml:space="preserve"># original distribution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CommentTok"/>
        </w:rPr>
        <w:t xml:space="preserve"># Oversampling - increase the minority class to balance</w:t>
      </w:r>
      <w:r>
        <w:br/>
      </w: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bal_oversampling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'Species'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(bal, mod_iris)</w:t>
      </w:r>
      <w:r>
        <w:br/>
      </w:r>
      <w:r>
        <w:rPr>
          <w:rStyle w:val="NormalTok"/>
        </w:rPr>
        <w:t xml:space="preserve">adjust_iris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mod_iris)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(adjust_iris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  </w:t>
      </w:r>
      <w:r>
        <w:rPr>
          <w:rStyle w:val="CommentTok"/>
        </w:rPr>
        <w:t xml:space="preserve"># distribution after oversampling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42         44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He, H., &amp; Garcia, E. A. (2009). Learning from imbalanced data. IEEE Transactions on Knowledge and Data Engineering, 21(9), 1263–1284.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2025-11-06T13:55:32Z</dcterms:created>
  <dcterms:modified xsi:type="dcterms:W3CDTF">2025-11-06T13:55:32Z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