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dversarial-autoencoder-encode-decode"/>
    <w:p>
      <w:pPr>
        <w:pStyle w:val="Heading2"/>
      </w:pPr>
      <w:r>
        <w:t xml:space="preserve">Adversarial Autoencoder (encode-decode)</w:t>
      </w:r>
    </w:p>
    <w:p>
      <w:pPr>
        <w:pStyle w:val="FirstParagraph"/>
      </w:pPr>
      <w:r>
        <w:t xml:space="preserve">An AAE couples reconstruction loss with an adversarial game in latent space. A discriminator distinguishes samples from the encoder vs. the prior, while the encoder seeks to fool it, aligning the aggregate posterior with the chosen prior distribution.</w:t>
      </w:r>
    </w:p>
    <w:p>
      <w:pPr>
        <w:pStyle w:val="BodyText"/>
      </w:pPr>
      <w:r>
        <w:t xml:space="preserve">This example shows how to train and use an Adversarial Autoencoder (AAE) in encode-decode mode: the model compresses windows from p to k dimensions and then reconstructs back to p, enabling evaluation of reconstruction error.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BodyText"/>
      </w:pPr>
      <w:r>
        <w:t xml:space="preserve">Quick notes</w:t>
      </w:r>
      <w:r>
        <w:t xml:space="preserve"> </w:t>
      </w:r>
      <w:r>
        <w:t xml:space="preserve">- Evaluation: reconstruction quality measured, for example, via R2 and MAPE per window column.</w:t>
      </w:r>
      <w:r>
        <w:t xml:space="preserve"> </w:t>
      </w:r>
      <w:r>
        <w:t xml:space="preserve">- Hyperparameters: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batch_size</w:t>
      </w:r>
      <w:r>
        <w:t xml:space="preserve"> </w:t>
      </w:r>
      <w:r>
        <w:t xml:space="preserve">influence convergence and adversarial stability.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Installing example dependencies (if needed)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</w:t>
      </w:r>
      <w:r>
        <w:rPr>
          <w:rStyle w:val="CommentTok"/>
        </w:rPr>
        <w:t xml:space="preserve"># convert series into windows with p columns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Creating the adversarial autoencoder (encode-decode): 5 -&gt; 3 -&gt; 5 dimensions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autoenc_adv_ed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 Reconstruction quality is affected by both decoder width and discriminator strength, so vary them together during tuning.</w:t>
      </w:r>
    </w:p>
    <w:p>
      <w:pPr>
        <w:pStyle w:val="SourceCode"/>
      </w:pPr>
      <w:r>
        <w:rPr>
          <w:rStyle w:val="CommentTok"/>
        </w:rPr>
        <w:t xml:space="preserve"># Learning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autoencoder/doc/17_autoenc_adv_ed_files/fce0fe5ac5ed53936403f4d9c2e775a2b740128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autoencoder (reconstruction)</w:t>
      </w:r>
      <w:r>
        <w:br/>
      </w:r>
      <w:r>
        <w:rPr>
          <w:rStyle w:val="CommentTok"/>
        </w:rPr>
        <w:t xml:space="preserve"># Show samples from the test set and the generated reconstruction (p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[,2]      [,3]      [,4]      [,5]</w:t>
      </w:r>
      <w:r>
        <w:br/>
      </w:r>
      <w:r>
        <w:rPr>
          <w:rStyle w:val="VerbatimChar"/>
        </w:rPr>
        <w:t xml:space="preserve">## [1,] 0.7794902 0.8273298 0.8512459 0.8680506 0.8498483</w:t>
      </w:r>
      <w:r>
        <w:br/>
      </w:r>
      <w:r>
        <w:rPr>
          <w:rStyle w:val="VerbatimChar"/>
        </w:rPr>
        <w:t xml:space="preserve">## [2,] 0.8045566 0.8553756 0.8777972 0.8926172 0.8759151</w:t>
      </w:r>
      <w:r>
        <w:br/>
      </w:r>
      <w:r>
        <w:rPr>
          <w:rStyle w:val="VerbatimChar"/>
        </w:rPr>
        <w:t xml:space="preserve">## [3,] 0.8155333 0.8671611 0.8887999 0.9024494 0.8866860</w:t>
      </w:r>
      <w:r>
        <w:br/>
      </w:r>
      <w:r>
        <w:rPr>
          <w:rStyle w:val="VerbatimChar"/>
        </w:rPr>
        <w:t xml:space="preserve">## [4,] 0.8142961 0.8656413 0.8873851 0.9011503 0.8852156</w:t>
      </w:r>
      <w:r>
        <w:br/>
      </w:r>
      <w:r>
        <w:rPr>
          <w:rStyle w:val="VerbatimChar"/>
        </w:rPr>
        <w:t xml:space="preserve">## [5,] 0.7992076 0.8489379 0.8716589 0.8868195 0.8697568</w:t>
      </w:r>
      <w:r>
        <w:br/>
      </w:r>
      <w:r>
        <w:rPr>
          <w:rStyle w:val="VerbatimChar"/>
        </w:rPr>
        <w:t xml:space="preserve">## [6,] 0.7687861 0.8138834 0.8371044 0.8547913 0.8358473</w:t>
      </w:r>
    </w:p>
    <w:p>
      <w:pPr>
        <w:pStyle w:val="SourceCode"/>
      </w:pPr>
      <w:r>
        <w:rPr>
          <w:rStyle w:val="CommentTok"/>
        </w:rPr>
        <w:t xml:space="preserve"># Reconstruction metrics per column: R2 and MAPE</w:t>
      </w:r>
      <w:r>
        <w:br/>
      </w:r>
      <w:r>
        <w:rPr>
          <w:rStyle w:val="CommentTok"/>
        </w:rPr>
        <w:t xml:space="preserve"># Note: MAPE can be sensitive to values close to zero.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(test)){</w:t>
      </w:r>
      <w:r>
        <w:br/>
      </w:r>
      <w:r>
        <w:rPr>
          <w:rStyle w:val="NormalTok"/>
        </w:rPr>
        <w:t xml:space="preserve">  r2_col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(test[col], result[col])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(r2, r2_col)</w:t>
      </w:r>
      <w:r>
        <w:br/>
      </w:r>
      <w:r>
        <w:rPr>
          <w:rStyle w:val="NormalTok"/>
        </w:rPr>
        <w:t xml:space="preserve">  mape_col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((result[col]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test[col]))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test[col])[[col]])</w:t>
      </w:r>
      <w:r>
        <w:br/>
      </w:r>
      <w:r>
        <w:rPr>
          <w:rStyle w:val="NormalTok"/>
        </w:rPr>
        <w:t xml:space="preserve">  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(mape, mape_col)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'R2 test:'</w:t>
      </w:r>
      <w:r>
        <w:rPr>
          <w:rStyle w:val="NormalTok"/>
        </w:rPr>
        <w:t xml:space="preserve">, r2_col,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mape_col))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"t4 R2 test: 0.311742567456236 MAPE: 0.194679349282425"</w:t>
      </w:r>
      <w:r>
        <w:br/>
      </w:r>
      <w:r>
        <w:rPr>
          <w:rStyle w:val="VerbatimChar"/>
        </w:rPr>
        <w:t xml:space="preserve">## [1] "t3 R2 test: 0.879715872669124 MAPE: 0.137592650386552"</w:t>
      </w:r>
      <w:r>
        <w:br/>
      </w:r>
      <w:r>
        <w:rPr>
          <w:rStyle w:val="VerbatimChar"/>
        </w:rPr>
        <w:t xml:space="preserve">## [1] "t2 R2 test: 0.992287395581508 MAPE: 0.0654849130561628"</w:t>
      </w:r>
      <w:r>
        <w:br/>
      </w:r>
      <w:r>
        <w:rPr>
          <w:rStyle w:val="VerbatimChar"/>
        </w:rPr>
        <w:t xml:space="preserve">## [1] "t1 R2 test: 0.951286000912721 MAPE: 0.154873398247592"</w:t>
      </w:r>
      <w:r>
        <w:br/>
      </w:r>
      <w:r>
        <w:rPr>
          <w:rStyle w:val="VerbatimChar"/>
        </w:rPr>
        <w:t xml:space="preserve">## [1] "t0 R2 test: 0.893938747598008 MAPE: 0.329569244951906"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'Means R2 test:'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(r2),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(mape)))</w:t>
      </w:r>
    </w:p>
    <w:p>
      <w:pPr>
        <w:pStyle w:val="SourceCode"/>
      </w:pPr>
      <w:r>
        <w:rPr>
          <w:rStyle w:val="VerbatimChar"/>
        </w:rPr>
        <w:t xml:space="preserve">## [1] "Means R2 test: 0.805794116843519 MAPE: 0.176439911184928"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Makhzani, A., Shlens, J., Jaitly, N., Goodfellow, I., &amp; Frey, B. (2015). Adversarial Autoencoders. arXiv:1511.05644.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2026-05-14T13:33:59Z</dcterms:created>
  <dcterms:modified xsi:type="dcterms:W3CDTF">2026-05-14T13:33:59Z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