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(boston_train)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 </w:t>
      </w:r>
      <w:r>
        <w:t xml:space="preserve">now infers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from the fitted predictor set. You can still pass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explicitly, but then it is treated as a consistency check against the training data.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preprocess</w:t>
      </w:r>
      <w:r>
        <w:t xml:space="preserve"> </w:t>
      </w:r>
      <w:r>
        <w:t xml:space="preserve">is configured in the object, it is fitted on the predictor columns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 reused during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</w:p>
    <w:p>
      <w:pPr>
        <w:pStyle w:val="BodyText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R2</w:t>
      </w:r>
      <w:r>
        <w:br/>
      </w:r>
      <w:r>
        <w:rPr>
          <w:rStyle w:val="VerbatimChar"/>
        </w:rPr>
        <w:t xml:space="preserve">## 1 12.71051 0.122361 0.858785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24.09664 0.1437476 0.59956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1_torch_reg_mlp_files/5be3594c55f08020468e5c83f4df7c89a5b0cb1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2026-05-14T13:34:21Z</dcterms:created>
  <dcterms:modified xsi:type="dcterms:W3CDTF">2026-05-14T13:34:21Z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