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8e8df90c4d22cb7cfd6f402f652063daf7216f9"/>
    <w:p>
      <w:pPr>
        <w:pStyle w:val="Heading2"/>
      </w:pPr>
      <w:r>
        <w:t xml:space="preserve">21. LSTM Regression with Static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with a fixed validation partition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validation subset fixed across the whole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stops improving for the configured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 here; the effective training length is controlled by early stopping.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example emphasizes interpretability of the validation curve, because all epochs are judged against the same holdout partition.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0.0006032538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0.40"   "0.17, 0.18"   "-0.08, -0.05" "-0.32, -0.29" "-0.54, -0.53"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0.0003237804 0.1067715 0.9972035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10.68"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73b898f8f6c2b5f540f3902d65b77c6a502271e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3d4a3f3729e21646d9c5fa7f4049d0b85f9b436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165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configuration is useful when you want a stable validation reference across epochs.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22_ts_lstm_dynamic_patience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2026-05-14T13:34:41Z</dcterms:created>
  <dcterms:modified xsi:type="dcterms:W3CDTF">2026-05-14T13:34:41Z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