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57c468dc5ea3bb7c846ad5a08f55acdd1a12f1"/>
    <w:p>
      <w:pPr>
        <w:pStyle w:val="Heading2"/>
      </w:pPr>
      <w:r>
        <w:t xml:space="preserve">02. PyTorch MLP Regressor with Static Validation and Patience</w:t>
      </w:r>
    </w:p>
    <w:p>
      <w:pPr>
        <w:pStyle w:val="FirstParagraph"/>
      </w:pPr>
      <w:r>
        <w:t xml:space="preserve">This example emphasizes the training regime of the PyTorch-backed MLP regressor. The architecture is kept simple while validation is held fixed across epochs and early stopping is controlled by patience.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with PyTorch accessible via reticulate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#install.packages("daltoolboxdp")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CommentTok"/>
        </w:rPr>
        <w:t xml:space="preserve"># Static validation with patience-based early stopping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torch_reg_mlp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(boston_train)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val_ratio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keeps the same validation partition during the whole training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when the validation loss stops improving for a chosen number of epochs.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acts as an upper bound; the effective number of epochs is determined by early stopping.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is inferred from the fitted predictors unless you provide it explicitly as a consistency check.</w:t>
      </w:r>
    </w:p>
    <w:p>
      <w:pPr>
        <w:pStyle w:val="SourceCode"/>
      </w:pPr>
      <w:r>
        <w:rPr>
          <w:rStyle w:val="CommentTok"/>
        </w:rPr>
        <w:t xml:space="preserve"># Training evaluation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34.62936 0.1811313 0.6152646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mse     smape        R2</w:t>
      </w:r>
      <w:r>
        <w:br/>
      </w:r>
      <w:r>
        <w:rPr>
          <w:rStyle w:val="VerbatimChar"/>
        </w:rPr>
        <w:t xml:space="preserve">## 1 27.487 0.2028312 0.5432189</w:t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epochs_done)</w:t>
      </w:r>
    </w:p>
    <w:p>
      <w:pPr>
        <w:pStyle w:val="SourceCode"/>
      </w:pPr>
      <w:r>
        <w:rPr>
          <w:rStyle w:val="VerbatimChar"/>
        </w:rPr>
        <w:t xml:space="preserve">## [1] 300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regression/doc/02_torch_reg_mlp_static_patience_files/9a062ed14d4ea23f6fa7d9c9c08348e75733e12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This setup is easier to interpret because all epochs are judged against the same validation subset.</w:t>
      </w:r>
      <w:r>
        <w:t xml:space="preserve"> </w:t>
      </w:r>
      <w:r>
        <w:t xml:space="preserve">- To compare stopping mechanisms, keep the same architecture and change only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(1995). Neural Networks for Pattern Recognition. Oxford University Press.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2026-07-08T21:30:16Z</dcterms:created>
  <dcterms:modified xsi:type="dcterms:W3CDTF">2026-07-08T21:30:16Z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