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e8df90c4d22cb7cfd6f402f652063daf7216f9"/>
    <w:p>
      <w:pPr>
        <w:pStyle w:val="Heading2"/>
      </w:pPr>
      <w:r>
        <w:t xml:space="preserve">21. LSTM Regression with Static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LSTM model with a fixed validation partition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validation subset fixed across the whole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stops improving for the configured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 here; the effective training length is controlled by early stopping.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example emphasizes interpretability of the validation curve, because all epochs are judged against the same holdout partition.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0.0006032211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0.18"   "-0.08, -0.05" "-0.32, -0.29" "-0.54, -0.53"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R2</w:t>
      </w:r>
      <w:r>
        <w:br/>
      </w:r>
      <w:r>
        <w:rPr>
          <w:rStyle w:val="VerbatimChar"/>
        </w:rPr>
        <w:t xml:space="preserve">## 1 0.0003237201 0.1067359 0.997204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10.67"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48c4580fdedd5d8c1b822238852af379b9b3bce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08b34e22592b5043a4a1a7d44acb273759f3129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165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configuration is useful when you want a stable validation reference across epochs.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22_ts_lstm_dynamic_patience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2026-07-08T21:30:35Z</dcterms:created>
  <dcterms:modified xsi:type="dcterms:W3CDTF">2026-07-08T21:30:35Z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