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fc4ca95ede900520f264a2691aeae26ee7c349"/>
    <w:p>
      <w:pPr>
        <w:pStyle w:val="Heading2"/>
      </w:pPr>
      <w:r>
        <w:t xml:space="preserve">08. PyTorch MLP Classifier with Dynamic Validation and Patience</w:t>
      </w:r>
    </w:p>
    <w:p>
      <w:pPr>
        <w:pStyle w:val="FirstParagraph"/>
      </w:pPr>
      <w:r>
        <w:t xml:space="preserve">This example focuses on the training regime rather than only the network architecture. It shows how to train the PyTorch-backed MLP classifier with a dynamic validation split and patience-based early stopping.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after a chosen number of epochs without meaningful validation improvement.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an upper bound here; the effective number of epochs is controlled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0.6916667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0.6333333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151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classification\doc\08_torch_cla_mlp_dynamic_patience_files/0f661d39f2d883135852b583f5c63db6af49755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example is useful when a fixed validation partition feels too brittle on smaller datasets.</w:t>
      </w:r>
      <w:r>
        <w:t xml:space="preserve"> </w:t>
      </w:r>
      <w:r>
        <w:t xml:space="preserve">- To compare behaviors, keep the same architecture and swap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return to the default baseline, set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2026-05-11T16:36:15Z</dcterms:created>
  <dcterms:modified xsi:type="dcterms:W3CDTF">2026-05-11T16:36:15Z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