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2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Bayesian Online Change Point Detection (BOCPD) tracks change evidence</w:t>
      </w:r>
      <w:r>
        <w:t xml:space="preserve"> </w:t>
      </w:r>
      <w:r>
        <w:t xml:space="preserve">sequentially by updating a posterior distribution over run length. In this</w:t>
      </w:r>
      <w:r>
        <w:t xml:space="preserve"> </w:t>
      </w:r>
      <w:r>
        <w:t xml:space="preserve">notebook we:</w:t>
      </w:r>
    </w:p>
    <w:p>
      <w:pPr>
        <w:pStyle w:val="Compact"/>
        <w:numPr>
          <w:ilvl w:val="0"/>
          <w:numId w:val="1001"/>
        </w:numPr>
      </w:pPr>
      <w:r>
        <w:t xml:space="preserve">load and visualize the same example change-point dataset used in the AMOC notebook</w:t>
      </w:r>
    </w:p>
    <w:p>
      <w:pPr>
        <w:pStyle w:val="Compact"/>
        <w:numPr>
          <w:ilvl w:val="0"/>
          <w:numId w:val="1001"/>
        </w:numPr>
      </w:pPr>
      <w:r>
        <w:t xml:space="preserve">configure</w:t>
      </w:r>
      <w:r>
        <w:t xml:space="preserve"> </w:t>
      </w:r>
      <w:r>
        <w:rPr>
          <w:rStyle w:val="VerbatimChar"/>
        </w:rPr>
        <w:t xml:space="preserve">hcp_bocpd()</w:t>
      </w:r>
      <w:r>
        <w:t xml:space="preserve"> </w:t>
      </w:r>
      <w:r>
        <w:t xml:space="preserve">with a Gaussian observation model</w:t>
      </w:r>
    </w:p>
    <w:p>
      <w:pPr>
        <w:pStyle w:val="Compact"/>
        <w:numPr>
          <w:ilvl w:val="0"/>
          <w:numId w:val="1001"/>
        </w:numPr>
      </w:pPr>
      <w:r>
        <w:t xml:space="preserve">inspect detected change points, evaluate them, and plot changepoint evidence</w:t>
      </w:r>
    </w:p>
    <w:bookmarkEnd w:id="9"/>
    <w:bookmarkStart w:id="10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BOCPD: Bayesian Online Change Point Detection updates a posterior over the</w:t>
      </w:r>
      <w:r>
        <w:t xml:space="preserve"> </w:t>
      </w:r>
      <w:r>
        <w:t xml:space="preserve">current run length and converts that posterior into changepoint evidence. In</w:t>
      </w:r>
      <w:r>
        <w:t xml:space="preserve"> </w:t>
      </w:r>
      <w:r>
        <w:rPr>
          <w:rStyle w:val="VerbatimChar"/>
        </w:rPr>
        <w:t xml:space="preserve">hcp_bocpd()</w:t>
      </w:r>
      <w:r>
        <w:t xml:space="preserve">, that evidence is summarized as a normalized score and thresholded</w:t>
      </w:r>
      <w:r>
        <w:t xml:space="preserve"> </w:t>
      </w:r>
      <w:r>
        <w:t xml:space="preserve">to produce final change-point candidates.</w:t>
      </w:r>
    </w:p>
    <w:bookmarkEnd w:id="10"/>
    <w:bookmarkStart w:id="26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2"/>
        </w:numPr>
      </w:pPr>
      <w:r>
        <w:t xml:space="preserve">understand the purpose of the example and when BOCPD is useful</w:t>
      </w:r>
    </w:p>
    <w:p>
      <w:pPr>
        <w:pStyle w:val="Compact"/>
        <w:numPr>
          <w:ilvl w:val="0"/>
          <w:numId w:val="1002"/>
        </w:numPr>
      </w:pPr>
      <w:r>
        <w:t xml:space="preserve">follow the workflow from data loading to model fitting and detection</w:t>
      </w:r>
    </w:p>
    <w:p>
      <w:pPr>
        <w:pStyle w:val="Compact"/>
        <w:numPr>
          <w:ilvl w:val="0"/>
          <w:numId w:val="1002"/>
        </w:numPr>
      </w:pPr>
      <w:r>
        <w:t xml:space="preserve">inspect the evaluation outputs and the diagnostic plots produced by Harbinger</w:t>
      </w:r>
    </w:p>
    <w:bookmarkStart w:id="11" w:name="prepare-the-example"/>
    <w:p>
      <w:pPr>
        <w:pStyle w:val="Heading3"/>
      </w:pPr>
      <w:r>
        <w:t xml:space="preserve">Prepare the Example</w:t>
      </w:r>
    </w:p>
    <w:p>
      <w:pPr>
        <w:pStyle w:val="FirstParagraph"/>
      </w:pPr>
      <w:r>
        <w:t xml:space="preserve">This setup anchors the notebook in the specific series used to examine</w:t>
      </w:r>
      <w:r>
        <w:t xml:space="preserve"> </w:t>
      </w:r>
      <w:r>
        <w:rPr>
          <w:rStyle w:val="VerbatimChar"/>
        </w:rPr>
        <w:t xml:space="preserve">hcp_bocpd()</w:t>
      </w:r>
      <w:r>
        <w:t xml:space="preserve">. The raw signal is shown before any probabilistic modeling so the</w:t>
      </w:r>
      <w:r>
        <w:t xml:space="preserve"> </w:t>
      </w:r>
      <w:r>
        <w:t xml:space="preserve">later changepoint evidence can be interpreted against the visible regime</w:t>
      </w:r>
      <w:r>
        <w:t xml:space="preserve"> </w:t>
      </w:r>
      <w:r>
        <w:t xml:space="preserve">structure.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"https://raw.githubusercontent.com/cefet-rj-dal/harbinger/master/examples/seed.R"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 Harbinger and ocp (if needed)</w:t>
      </w:r>
      <w:r>
        <w:br/>
      </w:r>
      <w:r>
        <w:rPr>
          <w:rStyle w:val="CommentTok"/>
        </w:rPr>
        <w:t xml:space="preserve"># install.packages("harbinger")</w:t>
      </w:r>
      <w:r>
        <w:br/>
      </w:r>
      <w:r>
        <w:rPr>
          <w:rStyle w:val="CommentTok"/>
        </w:rPr>
        <w:t xml:space="preserve"># install.packages("ocp")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</w:p>
    <w:p>
      <w:pPr>
        <w:pStyle w:val="SourceCode"/>
      </w:pPr>
      <w:r>
        <w:rPr>
          <w:rStyle w:val="CommentTok"/>
        </w:rPr>
        <w:t xml:space="preserve"># Load example change-point datasets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(examples_changepoints)</w:t>
      </w:r>
    </w:p>
    <w:p>
      <w:pPr>
        <w:pStyle w:val="SourceCode"/>
      </w:pPr>
      <w:r>
        <w:rPr>
          <w:rStyle w:val="CommentTok"/>
        </w:rPr>
        <w:t xml:space="preserve"># Select the same dataset used in the AMOC example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examples_changepoints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complex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0.3129618 FALSE</w:t>
      </w:r>
      <w:r>
        <w:br/>
      </w:r>
      <w:r>
        <w:rPr>
          <w:rStyle w:val="VerbatimChar"/>
        </w:rPr>
        <w:t xml:space="preserve">## 2 0.5944808 FALSE</w:t>
      </w:r>
      <w:r>
        <w:br/>
      </w:r>
      <w:r>
        <w:rPr>
          <w:rStyle w:val="VerbatimChar"/>
        </w:rPr>
        <w:t xml:space="preserve">## 3 0.8162731 FALSE</w:t>
      </w:r>
      <w:r>
        <w:br/>
      </w:r>
      <w:r>
        <w:rPr>
          <w:rStyle w:val="VerbatimChar"/>
        </w:rPr>
        <w:t xml:space="preserve">## 4 0.9560557 FALSE</w:t>
      </w:r>
      <w:r>
        <w:br/>
      </w:r>
      <w:r>
        <w:rPr>
          <w:rStyle w:val="VerbatimChar"/>
        </w:rPr>
        <w:t xml:space="preserve">## 5 0.9997847 FALSE</w:t>
      </w:r>
      <w:r>
        <w:br/>
      </w:r>
      <w:r>
        <w:rPr>
          <w:rStyle w:val="VerbatimChar"/>
        </w:rPr>
        <w:t xml:space="preserve">## 6 0.9430667 FALSE</w:t>
      </w:r>
    </w:p>
    <w:bookmarkEnd w:id="11"/>
    <w:bookmarkStart w:id="15" w:name="interpret-the-result-visually"/>
    <w:p>
      <w:pPr>
        <w:pStyle w:val="Heading3"/>
      </w:pPr>
      <w:r>
        <w:t xml:space="preserve">Interpret the Result Visually</w:t>
      </w:r>
    </w:p>
    <w:p>
      <w:pPr>
        <w:pStyle w:val="FirstParagraph"/>
      </w:pPr>
      <w:r>
        <w:t xml:space="preserve">This first visual pass establishes what the method should react to in the raw</w:t>
      </w:r>
      <w:r>
        <w:t xml:space="preserve"> </w:t>
      </w:r>
      <w:r>
        <w:t xml:space="preserve">series. Keep the method summary in mind here, because BOCPD is meant to assign</w:t>
      </w:r>
      <w:r>
        <w:t xml:space="preserve"> </w:t>
      </w:r>
      <w:r>
        <w:t xml:space="preserve">high evidence near regime transitions rather than to isolated local excursions.</w:t>
      </w:r>
    </w:p>
    <w:p>
      <w:pPr>
        <w:pStyle w:val="SourceCode"/>
      </w:pPr>
      <w:r>
        <w:rPr>
          <w:rStyle w:val="CommentTok"/>
        </w:rPr>
        <w:t xml:space="preserve"># Plot the raw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harbinger/examples/change_point/doc/14-bocpd-hcp_bocpd_files/2242cd390b7173162c79c5a854b5030be02a2ef2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16" w:name="configure-the-method"/>
    <w:p>
      <w:pPr>
        <w:pStyle w:val="Heading3"/>
      </w:pPr>
      <w:r>
        <w:t xml:space="preserve">Configure the Method</w:t>
      </w:r>
    </w:p>
    <w:p>
      <w:pPr>
        <w:pStyle w:val="FirstParagraph"/>
      </w:pPr>
      <w:r>
        <w:t xml:space="preserve">The configuration below turns the Bayesian monitoring idea into concrete</w:t>
      </w:r>
      <w:r>
        <w:t xml:space="preserve"> </w:t>
      </w:r>
      <w:r>
        <w:t xml:space="preserve">parameters.</w:t>
      </w:r>
      <w:r>
        <w:t xml:space="preserve"> </w:t>
      </w:r>
      <w:r>
        <w:rPr>
          <w:rStyle w:val="VerbatimChar"/>
        </w:rPr>
        <w:t xml:space="preserve">hazard</w:t>
      </w:r>
      <w:r>
        <w:t xml:space="preserve"> </w:t>
      </w:r>
      <w:r>
        <w:t xml:space="preserve">controls the prior tendency to start a new regime,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defines the observation model used by</w:t>
      </w:r>
      <w:r>
        <w:t xml:space="preserve"> </w:t>
      </w:r>
      <w:r>
        <w:rPr>
          <w:rStyle w:val="VerbatimChar"/>
        </w:rPr>
        <w:t xml:space="preserve">ocp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threshold</w:t>
      </w:r>
      <w:r>
        <w:t xml:space="preserve"> </w:t>
      </w:r>
      <w:r>
        <w:t xml:space="preserve">maps normalized</w:t>
      </w:r>
      <w:r>
        <w:t xml:space="preserve"> </w:t>
      </w:r>
      <w:r>
        <w:t xml:space="preserve">changepoint evidence into final decisions.</w:t>
      </w:r>
    </w:p>
    <w:p>
      <w:pPr>
        <w:pStyle w:val="SourceCode"/>
      </w:pPr>
      <w:r>
        <w:rPr>
          <w:rStyle w:val="CommentTok"/>
        </w:rPr>
        <w:t xml:space="preserve"># Configure BOCPD with a Gaussian observation model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hcp_bocpd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hazard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"gaussian"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)</w:t>
      </w:r>
    </w:p>
    <w:bookmarkEnd w:id="16"/>
    <w:bookmarkStart w:id="17" w:name="run-the-core-analysis"/>
    <w:p>
      <w:pPr>
        <w:pStyle w:val="Heading3"/>
      </w:pPr>
      <w:r>
        <w:t xml:space="preserve">Run the Core Analysis</w:t>
      </w:r>
    </w:p>
    <w:p>
      <w:pPr>
        <w:pStyle w:val="FirstParagraph"/>
      </w:pPr>
      <w:r>
        <w:t xml:space="preserve">This is the point where the notebook tests whether BOCPD assigns high</w:t>
      </w:r>
      <w:r>
        <w:t xml:space="preserve"> </w:t>
      </w:r>
      <w:r>
        <w:t xml:space="preserve">changepoint evidence to the actual structural break in the series. The package</w:t>
      </w:r>
      <w:r>
        <w:t xml:space="preserve"> </w:t>
      </w:r>
      <w:r>
        <w:t xml:space="preserve">relies on</w:t>
      </w:r>
      <w:r>
        <w:t xml:space="preserve"> </w:t>
      </w:r>
      <w:r>
        <w:rPr>
          <w:rStyle w:val="VerbatimChar"/>
        </w:rPr>
        <w:t xml:space="preserve">ocp</w:t>
      </w:r>
      <w:r>
        <w:t xml:space="preserve"> </w:t>
      </w:r>
      <w:r>
        <w:t xml:space="preserve">for the posterior computation, so the example is skipped when</w:t>
      </w:r>
      <w:r>
        <w:t xml:space="preserve"> </w:t>
      </w:r>
      <w:r>
        <w:t xml:space="preserve">that optional dependency is unavailable.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"ocp"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Fit the detector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Run detection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Show detected change points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 'ocp' package is not installed, so this example is skipped."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   idx event        type</w:t>
      </w:r>
      <w:r>
        <w:br/>
      </w:r>
      <w:r>
        <w:rPr>
          <w:rStyle w:val="VerbatimChar"/>
        </w:rPr>
        <w:t xml:space="preserve">## 1   10  TRUE changepoint</w:t>
      </w:r>
      <w:r>
        <w:br/>
      </w:r>
      <w:r>
        <w:rPr>
          <w:rStyle w:val="VerbatimChar"/>
        </w:rPr>
        <w:t xml:space="preserve">## 2  102  TRUE changepoint</w:t>
      </w:r>
      <w:r>
        <w:br/>
      </w:r>
      <w:r>
        <w:rPr>
          <w:rStyle w:val="VerbatimChar"/>
        </w:rPr>
        <w:t xml:space="preserve">## 3  108  TRUE changepoint</w:t>
      </w:r>
      <w:r>
        <w:br/>
      </w:r>
      <w:r>
        <w:rPr>
          <w:rStyle w:val="VerbatimChar"/>
        </w:rPr>
        <w:t xml:space="preserve">## 4  201  TRUE changepoint</w:t>
      </w:r>
      <w:r>
        <w:br/>
      </w:r>
      <w:r>
        <w:rPr>
          <w:rStyle w:val="VerbatimChar"/>
        </w:rPr>
        <w:t xml:space="preserve">## 5  312  TRUE changepoint</w:t>
      </w:r>
      <w:r>
        <w:br/>
      </w:r>
      <w:r>
        <w:rPr>
          <w:rStyle w:val="VerbatimChar"/>
        </w:rPr>
        <w:t xml:space="preserve">## 6  330  TRUE changepoint</w:t>
      </w:r>
      <w:r>
        <w:br/>
      </w:r>
      <w:r>
        <w:rPr>
          <w:rStyle w:val="VerbatimChar"/>
        </w:rPr>
        <w:t xml:space="preserve">## 7  352  TRUE changepoint</w:t>
      </w:r>
      <w:r>
        <w:br/>
      </w:r>
      <w:r>
        <w:rPr>
          <w:rStyle w:val="VerbatimChar"/>
        </w:rPr>
        <w:t xml:space="preserve">## 8  367  TRUE changepoint</w:t>
      </w:r>
      <w:r>
        <w:br/>
      </w:r>
      <w:r>
        <w:rPr>
          <w:rStyle w:val="VerbatimChar"/>
        </w:rPr>
        <w:t xml:space="preserve">## 9  373  TRUE changepoint</w:t>
      </w:r>
      <w:r>
        <w:br/>
      </w:r>
      <w:r>
        <w:rPr>
          <w:rStyle w:val="VerbatimChar"/>
        </w:rPr>
        <w:t xml:space="preserve">## 10 386  TRUE changepoint</w:t>
      </w:r>
      <w:r>
        <w:br/>
      </w:r>
      <w:r>
        <w:rPr>
          <w:rStyle w:val="VerbatimChar"/>
        </w:rPr>
        <w:t xml:space="preserve">## 11 391  TRUE changepoint</w:t>
      </w:r>
      <w:r>
        <w:br/>
      </w:r>
      <w:r>
        <w:rPr>
          <w:rStyle w:val="VerbatimChar"/>
        </w:rPr>
        <w:t xml:space="preserve">## 12 411  TRUE changepoint</w:t>
      </w:r>
    </w:p>
    <w:bookmarkEnd w:id="17"/>
    <w:bookmarkStart w:id="18" w:name="evaluate-what-was-found"/>
    <w:p>
      <w:pPr>
        <w:pStyle w:val="Heading3"/>
      </w:pPr>
      <w:r>
        <w:t xml:space="preserve">Evaluate What Was Found</w:t>
      </w:r>
    </w:p>
    <w:p>
      <w:pPr>
        <w:pStyle w:val="FirstParagraph"/>
      </w:pPr>
      <w:r>
        <w:t xml:space="preserve">The evaluation asks whether the change-point candidates produced by</w:t>
      </w:r>
      <w:r>
        <w:t xml:space="preserve"> </w:t>
      </w:r>
      <w:r>
        <w:rPr>
          <w:rStyle w:val="VerbatimChar"/>
        </w:rPr>
        <w:t xml:space="preserve">hcp_bocpd()</w:t>
      </w:r>
      <w:r>
        <w:t xml:space="preserve"> </w:t>
      </w:r>
      <w:r>
        <w:t xml:space="preserve">match the labeled structure on this dataset. Read the scores as</w:t>
      </w:r>
      <w:r>
        <w:t xml:space="preserve"> </w:t>
      </w:r>
      <w:r>
        <w:t xml:space="preserve">evidence about the method’s assumptions in practice, not as detached summary</w:t>
      </w:r>
      <w:r>
        <w:t xml:space="preserve"> </w:t>
      </w:r>
      <w:r>
        <w:t xml:space="preserve">numbers.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"detection"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Evaluate detections against labels</w:t>
      </w:r>
      <w:r>
        <w:br/>
      </w:r>
      <w:r>
        <w:rPr>
          <w:rStyle w:val="NormalTok"/>
        </w:rPr>
        <w:t xml:space="preserve">  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0     12   </w:t>
      </w:r>
      <w:r>
        <w:br/>
      </w:r>
      <w:r>
        <w:rPr>
          <w:rStyle w:val="VerbatimChar"/>
        </w:rPr>
        <w:t xml:space="preserve">## FALSE     4     484</w:t>
      </w:r>
    </w:p>
    <w:bookmarkEnd w:id="18"/>
    <w:bookmarkStart w:id="25" w:name="interpret-the-result-visually-1"/>
    <w:p>
      <w:pPr>
        <w:pStyle w:val="Heading3"/>
      </w:pPr>
      <w:r>
        <w:t xml:space="preserve">Interpret the Result Visually</w:t>
      </w:r>
    </w:p>
    <w:p>
      <w:pPr>
        <w:pStyle w:val="FirstParagraph"/>
      </w:pPr>
      <w:r>
        <w:t xml:space="preserve">This visual check puts the model output back on top of the original signal.</w:t>
      </w:r>
      <w:r>
        <w:t xml:space="preserve"> </w:t>
      </w:r>
      <w:r>
        <w:t xml:space="preserve">What matters now is whether the highlighted change-point candidates and their</w:t>
      </w:r>
      <w:r>
        <w:t xml:space="preserve"> </w:t>
      </w:r>
      <w:r>
        <w:t xml:space="preserve">evidence align with the structure suggested by the raw series.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"detection"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Plot detections vs. ground truth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/home/gpca/harbinger/examples/change_point/doc/14-bocpd-hcp_bocpd_files/bc59d6d53eaed3a8d6b3680536d197c98d6b018d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"detection"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Plot normalized changepoint evidence and the decision threshold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threshold)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/home/gpca/harbinger/examples/change_point/doc/14-bocpd-hcp_bocpd_files/b469a56e58ccb230cb299897d5670428e6534959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End w:id="26"/>
    <w:bookmarkStart w:id="27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3"/>
        </w:numPr>
      </w:pPr>
      <w:r>
        <w:t xml:space="preserve">Adams, R. P., MacKay, D. J. C. (2007). Bayesian Online Changepoint Detection.</w:t>
      </w:r>
      <w:r>
        <w:t xml:space="preserve"> </w:t>
      </w:r>
      <w:r>
        <w:t xml:space="preserve">arXiv:0710.3742</w:t>
      </w:r>
    </w:p>
    <w:p>
      <w:pPr>
        <w:pStyle w:val="Compact"/>
        <w:numPr>
          <w:ilvl w:val="0"/>
          <w:numId w:val="1003"/>
        </w:numPr>
      </w:pPr>
      <w:r>
        <w:t xml:space="preserve">Pagotto, A. (2019).</w:t>
      </w:r>
      <w:r>
        <w:t xml:space="preserve"> </w:t>
      </w:r>
      <w:r>
        <w:rPr>
          <w:rStyle w:val="VerbatimChar"/>
        </w:rPr>
        <w:t xml:space="preserve">ocp</w:t>
      </w:r>
      <w:r>
        <w:t xml:space="preserve">: Bayesian Online Changepoint Detection. R package.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2" Target="media/rId22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2026-05-20T02:48:38Z</dcterms:created>
  <dcterms:modified xsi:type="dcterms:W3CDTF">2026-05-20T02:48:38Z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