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over the same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adopted across</w:t>
      </w:r>
      <w:r>
        <w:t xml:space="preserve"> </w:t>
      </w:r>
      <w:r>
        <w:t xml:space="preserve">the change-point examples.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to provide complementary</w:t>
      </w:r>
      <w:r>
        <w:t xml:space="preserve"> </w:t>
      </w:r>
      <w:r>
        <w:t xml:space="preserve">signals on</w:t>
      </w:r>
      <w:r>
        <w:t xml:space="preserve"> </w:t>
      </w:r>
      <w:r>
        <w:rPr>
          <w:rStyle w:val="VerbatimChar"/>
        </w:rPr>
        <w:t xml:space="preserve">examples_changepoints$complex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an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type</w:t>
      </w:r>
      <w:r>
        <w:br/>
      </w:r>
      <w:r>
        <w:rPr>
          <w:rStyle w:val="VerbatimChar"/>
        </w:rPr>
        <w:t xml:space="preserve">## 200 200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a6f209a2f3b0896956c9bba2690995ae08bcd68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2026-05-20T02:48:40Z</dcterms:created>
  <dcterms:modified xsi:type="dcterms:W3CDTF">2026-05-20T02:48:40Z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