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structural tests, local-window methods, adaptive Waypoint models, Bayesian online monitoring, ensembles, and univariate drift detectors.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5" w:name="adaptive-waypoint-models"/>
    <w:p>
      <w:pPr>
        <w:pStyle w:val="Heading2"/>
      </w:pPr>
      <w:r>
        <w:t xml:space="preserve">Adaptive Waypoint Models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bookmarkEnd w:id="25"/>
    <w:bookmarkStart w:id="27" w:name="bayesian-online-monitoring"/>
    <w:p>
      <w:pPr>
        <w:pStyle w:val="Heading2"/>
      </w:pPr>
      <w:r>
        <w:t xml:space="preserve">Bayesian Online Monitoring</w:t>
      </w:r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7"/>
    <w:bookmarkStart w:id="30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30"/>
    <w:bookmarkStart w:id="33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3"/>
    <w:bookmarkStart w:id="35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2026-05-20T02:50:27Z</dcterms:created>
  <dcterms:modified xsi:type="dcterms:W3CDTF">2026-05-20T02:50:27Z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