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0.png" ContentType="image/png"/>
  <Override PartName="/word/media/rId12.png" ContentType="image/png"/>
  <Override PartName="/word/media/rId33.png" ContentType="image/png"/>
  <Override PartName="/word/media/rId21.png" ContentType="image/png"/>
  <Override PartName="/word/media/rId27.png" ContentType="image/png"/>
  <Override PartName="/word/media/rId39.png" ContentType="image/png"/>
  <Override PartName="/word/media/rId36.png" ContentType="image/png"/>
  <Override PartName="/word/media/rId1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goal of this notebook is to present a complete Harbinger workflow: loading an example dataset, configuring the method used in the notebook, running the analysis, and interpreting the resulting outputs and plots.</w:t>
      </w:r>
    </w:p>
    <w:bookmarkEnd w:id="9"/>
    <w:bookmarkStart w:id="10" w:name="method-at-a-glance"/>
    <w:p>
      <w:pPr>
        <w:pStyle w:val="Heading2"/>
      </w:pPr>
      <w:r>
        <w:t xml:space="preserve">Method at a glance</w:t>
      </w:r>
    </w:p>
    <w:p>
      <w:pPr>
        <w:pStyle w:val="FirstParagraph"/>
      </w:pPr>
      <w:r>
        <w:t xml:space="preserve">This notebook tours common time-series anomaly patterns (point/isolated, contextual, collective/sequence, regime variance shifts) using Harbinger’s base pipeline. For each dataset, we fit a detector, run detection, and visualize predictions against ground truth. The goal is to illustrate how different patterns appear in residual magnitude and plots, and how Harbinger’s unified interface helps compare detectors consistently.</w:t>
      </w:r>
    </w:p>
    <w:bookmarkEnd w:id="10"/>
    <w:bookmarkStart w:id="43"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harbinger()</w:t>
      </w:r>
      <w:r>
        <w:t xml:space="preserve">. The semantic point is the one stated above: this notebook tours common time-series anomaly patterns (point/isolated, contextual, collective/sequence, regime variance shifts) using Harbinger’s base pipeline,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bookmarkEnd w:id="11"/>
    <w:bookmarkStart w:id="42" w:name="configure-the-method"/>
    <w:p>
      <w:pPr>
        <w:pStyle w:val="Heading3"/>
      </w:pPr>
      <w:r>
        <w:t xml:space="preserve">Configure the Method</w:t>
      </w:r>
    </w:p>
    <w:p>
      <w:pPr>
        <w:pStyle w:val="FirstParagraph"/>
      </w:pPr>
      <w:r>
        <w:t xml:space="preserve">The choices below turn the central modeling idea into concrete parameters. They matter because this notebook tours common time-series anomaly patterns (point/isolated, contextual, collective/sequence, regime variance shifts) using Harbinger’s base pipeline, so each argument controls how strongly the method will emphasize that pattern when it later produces workflow outputs.</w:t>
      </w:r>
    </w:p>
    <w:p>
      <w:pPr>
        <w:pStyle w:val="SourceCode"/>
      </w:pPr>
      <w:r>
        <w:rPr>
          <w:rStyle w:val="CommentTok"/>
        </w:rPr>
        <w:t xml:space="preserve"># Load example anomaly datasets and create a base object</w:t>
      </w:r>
      <w:r>
        <w:br/>
      </w:r>
      <w:r>
        <w:rPr>
          <w:rStyle w:val="FunctionTok"/>
        </w:rPr>
        <w:t xml:space="preserve">data</w:t>
      </w:r>
      <w:r>
        <w:rPr>
          <w:rStyle w:val="NormalTok"/>
        </w:rPr>
        <w:t xml:space="preserve">(examples_anomalies)</w:t>
      </w:r>
      <w:r>
        <w:br/>
      </w:r>
      <w:r>
        <w:rPr>
          <w:rStyle w:val="NormalTok"/>
        </w:rPr>
        <w:t xml:space="preserve">model </w:t>
      </w:r>
      <w:r>
        <w:rPr>
          <w:rStyle w:val="OtherTok"/>
        </w:rPr>
        <w:t xml:space="preserve">&lt;-</w:t>
      </w:r>
      <w:r>
        <w:rPr>
          <w:rStyle w:val="NormalTok"/>
        </w:rPr>
        <w:t xml:space="preserve"> </w:t>
      </w:r>
      <w:r>
        <w:rPr>
          <w:rStyle w:val="FunctionTok"/>
        </w:rPr>
        <w:t xml:space="preserve">harbinger</w:t>
      </w:r>
      <w:r>
        <w:rPr>
          <w:rStyle w:val="NormalTok"/>
        </w:rPr>
        <w:t xml:space="preserve">()</w:t>
      </w:r>
    </w:p>
    <w:p>
      <w:pPr>
        <w:pStyle w:val="SourceCode"/>
      </w:pPr>
      <w:r>
        <w:rPr>
          <w:rStyle w:val="CommentTok"/>
        </w:rPr>
        <w:t xml:space="preserve"># Simple anomalies: isolated spikes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general/doc/02-orientation-examples_anomalies_files/340145a6a24854a6c9b3bc33d675594d5fc00a7e.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Contextual anomalies: depend on local context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contextual</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6" name="Picture"/>
            <a:graphic>
              <a:graphicData uri="http://schemas.openxmlformats.org/drawingml/2006/picture">
                <pic:pic>
                  <pic:nvPicPr>
                    <pic:cNvPr descr="/home/gpca/harbinger/examples/general/doc/02-orientation-examples_anomalies_files/b734dfeda810dac40d067375b07a2939d6e24486.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Trend with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trend</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9" name="Picture"/>
            <a:graphic>
              <a:graphicData uri="http://schemas.openxmlformats.org/drawingml/2006/picture">
                <pic:pic>
                  <pic:nvPicPr>
                    <pic:cNvPr descr="/home/gpca/harbinger/examples/general/doc/02-orientation-examples_anomalies_files/b998151629ea41c2a064a58a30292aaf7e9f831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Multiple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multiple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2" name="Picture"/>
            <a:graphic>
              <a:graphicData uri="http://schemas.openxmlformats.org/drawingml/2006/picture">
                <pic:pic>
                  <pic:nvPicPr>
                    <pic:cNvPr descr="/home/gpca/harbinger/examples/general/doc/02-orientation-examples_anomalies_files/608ccae4ccf5fedf17d1f3f055a8257c4559e647.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Anomalous repeating sequences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sequence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5" name="Picture"/>
            <a:graphic>
              <a:graphicData uri="http://schemas.openxmlformats.org/drawingml/2006/picture">
                <pic:pic>
                  <pic:nvPicPr>
                    <pic:cNvPr descr="/home/gpca/harbinger/examples/general/doc/02-orientation-examples_anomalies_files/01259907f5142fdeaac410eeb391261e7fe4e58d.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Train/Test split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8" name="Picture"/>
            <a:graphic>
              <a:graphicData uri="http://schemas.openxmlformats.org/drawingml/2006/picture">
                <pic:pic>
                  <pic:nvPicPr>
                    <pic:cNvPr descr="/home/gpca/harbinger/examples/general/doc/02-orientation-examples_anomalies_files/8441a36b4e0167944a77732708af97e18a0e2ae4.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Train/Test warped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tt_warped</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1" name="Picture"/>
            <a:graphic>
              <a:graphicData uri="http://schemas.openxmlformats.org/drawingml/2006/picture">
                <pic:pic>
                  <pic:nvPicPr>
                    <pic:cNvPr descr="/home/gpca/harbinger/examples/general/doc/02-orientation-examples_anomalies_files/13a99a48cd94d0795c7ac9f329fb388165b96807.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Increasing amplitude over time</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increasing_amplitude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4" name="Picture"/>
            <a:graphic>
              <a:graphicData uri="http://schemas.openxmlformats.org/drawingml/2006/picture">
                <pic:pic>
                  <pic:nvPicPr>
                    <pic:cNvPr descr="/home/gpca/harbinger/examples/general/doc/02-orientation-examples_anomalies_files/5e463d63c62193b4b6d0d5ae56bf768490eb84bc.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Decreasing amplitude over time</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decreasing_amplitude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37" name="Picture"/>
            <a:graphic>
              <a:graphicData uri="http://schemas.openxmlformats.org/drawingml/2006/picture">
                <pic:pic>
                  <pic:nvPicPr>
                    <pic:cNvPr descr="/home/gpca/harbinger/examples/general/doc/02-orientation-examples_anomalies_files/9b9a68e46ab278a86a6d83de9df802140e7559ee.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Volatile variance</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volatile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40" name="Picture"/>
            <a:graphic>
              <a:graphicData uri="http://schemas.openxmlformats.org/drawingml/2006/picture">
                <pic:pic>
                  <pic:nvPicPr>
                    <pic:cNvPr descr="/home/gpca/harbinger/examples/general/doc/02-orientation-examples_anomalies_files/8f2ae5da941240a89db00696470bb0f3c06e7796.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bookmarkEnd w:id="42"/>
    <w:bookmarkEnd w:id="43"/>
    <w:bookmarkStart w:id="45"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44">
        <w:r>
          <w:rPr>
            <w:rStyle w:val="Hyperlink"/>
          </w:rPr>
          <w:t xml:space="preserve">doi:10.1007/978-3-031-75941-3</w:t>
        </w:r>
      </w:hyperlink>
    </w:p>
    <w:p>
      <w:pPr>
        <w:pStyle w:val="Compact"/>
        <w:numPr>
          <w:ilvl w:val="0"/>
          <w:numId w:val="1002"/>
        </w:numPr>
      </w:pPr>
      <w:r>
        <w:t xml:space="preserve">Chandola, V., Banerjee, A., Kumar, V. (2009). Anomaly detection: A survey. ACM Computing Surveys, 41(3), 1-58.</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12" Target="media/rId12.png" /><Relationship Type="http://schemas.openxmlformats.org/officeDocument/2006/relationships/image" Id="rId33" Target="media/rId33.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hyperlink" Id="rId44"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44"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2026-05-20T02:51:36Z</dcterms:created>
  <dcterms:modified xsi:type="dcterms:W3CDTF">2026-05-20T02:51:36Z</dcterms:modified>
</cp:coreProperties>
</file>

<file path=docProps/custom.xml><?xml version="1.0" encoding="utf-8"?>
<Properties xmlns="http://schemas.openxmlformats.org/officeDocument/2006/custom-properties" xmlns:vt="http://schemas.openxmlformats.org/officeDocument/2006/docPropsVTypes"/>
</file>