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l-examples"/>
    <w:p>
      <w:pPr>
        <w:pStyle w:val="Heading1"/>
      </w:pPr>
      <w:r>
        <w:t xml:space="preserve">General Examples</w:t>
      </w:r>
    </w:p>
    <w:p>
      <w:pPr>
        <w:pStyle w:val="FirstParagraph"/>
      </w:pPr>
      <w:r>
        <w:t xml:space="preserve">This folder is the quickest package tour. It is the best place to start after the tutorials, or before them if the reader wants a compact view of what</w:t>
      </w:r>
      <w:r>
        <w:t xml:space="preserve"> </w:t>
      </w:r>
      <w:r>
        <w:rPr>
          <w:rStyle w:val="VerbatimChar"/>
        </w:rPr>
        <w:t xml:space="preserve">harbinger</w:t>
      </w:r>
      <w:r>
        <w:t xml:space="preserve"> </w:t>
      </w:r>
      <w:r>
        <w:t xml:space="preserve">covers.</w:t>
      </w:r>
    </w:p>
    <w:p>
      <w:pPr>
        <w:pStyle w:val="BodyText"/>
      </w:pPr>
      <w:r>
        <w:t xml:space="preserve">Instead of presenting unrelated files, the material is grouped around three questions that usually appear first when someone approaches the package: what problems Harbinger solves, which helper functions support the workflow, and how the final detections should be evaluated.</w:t>
      </w:r>
    </w:p>
    <w:p>
      <w:pPr>
        <w:pStyle w:val="BodyText"/>
      </w:pPr>
      <w:r>
        <w:t xml:space="preserve">If the reader wants orientation first and detail later, this is the right folder to read from top to bottom.</w:t>
      </w:r>
    </w:p>
    <w:bookmarkStart w:id="13" w:name="orientation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Start here if you want to understand the vocabulary of the package before studying any specific method family.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01-orientation-examples_harbinger.md</w:t>
        </w:r>
      </w:hyperlink>
      <w:r>
        <w:t xml:space="preserve"> </w:t>
      </w:r>
      <w:r>
        <w:t xml:space="preserve">- broad package overview using representative datasets and tasks.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02-orientation-examples_anomalies.md</w:t>
        </w:r>
      </w:hyperlink>
      <w:r>
        <w:t xml:space="preserve"> </w:t>
      </w:r>
      <w:r>
        <w:t xml:space="preserve">- what anomaly detection means in the package and how the examples are organized.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03-orientation-examples_changepoints.md</w:t>
        </w:r>
      </w:hyperlink>
      <w:r>
        <w:t xml:space="preserve"> </w:t>
      </w:r>
      <w:r>
        <w:t xml:space="preserve">- change-point problems, typical outputs, and package scope.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04-orientation-examples_motifs.md</w:t>
        </w:r>
      </w:hyperlink>
      <w:r>
        <w:t xml:space="preserve"> </w:t>
      </w:r>
      <w:r>
        <w:t xml:space="preserve">- motifs, discords, and sequence-oriented workflows.</w:t>
      </w:r>
    </w:p>
    <w:bookmarkEnd w:id="13"/>
    <w:bookmarkStart w:id="16" w:name="utilities"/>
    <w:p>
      <w:pPr>
        <w:pStyle w:val="Heading2"/>
      </w:pPr>
      <w:r>
        <w:t xml:space="preserve">Utilities</w:t>
      </w:r>
    </w:p>
    <w:p>
      <w:pPr>
        <w:pStyle w:val="FirstParagraph"/>
      </w:pPr>
      <w:r>
        <w:t xml:space="preserve">After the package tour, these examples show helper functions that often appear around the main models and make the outputs easier to interpret.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05-utilities-examples_deviation_measures.md</w:t>
        </w:r>
      </w:hyperlink>
      <w:r>
        <w:t xml:space="preserve"> </w:t>
      </w:r>
      <w:r>
        <w:t xml:space="preserve">- helper functions for deviation measures over residual or subsequence signals.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06-utilities-examples_filter_criteria_candidate_selection.md</w:t>
        </w:r>
      </w:hyperlink>
      <w:r>
        <w:t xml:space="preserve"> </w:t>
      </w:r>
      <w:r>
        <w:t xml:space="preserve">- helper functions for filter criteria and candidate selection, including the Grubbs filter and the reference-distribution selector for sequence-aware detections.</w:t>
      </w:r>
    </w:p>
    <w:bookmarkEnd w:id="16"/>
    <w:bookmarkStart w:id="19" w:name="evaluation"/>
    <w:p>
      <w:pPr>
        <w:pStyle w:val="Heading2"/>
      </w:pPr>
      <w:r>
        <w:t xml:space="preserve">Evaluation</w:t>
      </w:r>
    </w:p>
    <w:p>
      <w:pPr>
        <w:pStyle w:val="FirstParagraph"/>
      </w:pPr>
      <w:r>
        <w:t xml:space="preserve">Finish with evaluation, because this is where the reader learns how to judge whether a detector found the right event and how strict that judgment should be.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07-evaluation-har_eval.md</w:t>
        </w:r>
      </w:hyperlink>
      <w:r>
        <w:t xml:space="preserve"> </w:t>
      </w:r>
      <w:r>
        <w:t xml:space="preserve">- strict event evaluation with confusion-matrix style metrics.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08-evaluation-har_eval_soft.md</w:t>
        </w:r>
      </w:hyperlink>
      <w:r>
        <w:t xml:space="preserve"> </w:t>
      </w:r>
      <w:r>
        <w:t xml:space="preserve">- tolerant evaluation when small temporal misalignment should not count as a full error.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general/01-orientation-examples_harbinger.md" TargetMode="External" /><Relationship Type="http://schemas.openxmlformats.org/officeDocument/2006/relationships/hyperlink" Id="rId10" Target="/examples/general/02-orientation-examples_anomalies.md" TargetMode="External" /><Relationship Type="http://schemas.openxmlformats.org/officeDocument/2006/relationships/hyperlink" Id="rId11" Target="/examples/general/03-orientation-examples_changepoints.md" TargetMode="External" /><Relationship Type="http://schemas.openxmlformats.org/officeDocument/2006/relationships/hyperlink" Id="rId12" Target="/examples/general/04-orientation-examples_motifs.md" TargetMode="External" /><Relationship Type="http://schemas.openxmlformats.org/officeDocument/2006/relationships/hyperlink" Id="rId14" Target="/examples/general/05-utilities-examples_deviation_measures.md" TargetMode="External" /><Relationship Type="http://schemas.openxmlformats.org/officeDocument/2006/relationships/hyperlink" Id="rId15" Target="/examples/general/06-utilities-examples_filter_criteria_candidate_selection.md" TargetMode="External" /><Relationship Type="http://schemas.openxmlformats.org/officeDocument/2006/relationships/hyperlink" Id="rId17" Target="/examples/general/07-evaluation-har_eval.md" TargetMode="External" /><Relationship Type="http://schemas.openxmlformats.org/officeDocument/2006/relationships/hyperlink" Id="rId18" Target="/examples/general/08-evaluation-har_eval_sof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general/01-orientation-examples_harbinger.md" TargetMode="External" /><Relationship Type="http://schemas.openxmlformats.org/officeDocument/2006/relationships/hyperlink" Id="rId10" Target="/examples/general/02-orientation-examples_anomalies.md" TargetMode="External" /><Relationship Type="http://schemas.openxmlformats.org/officeDocument/2006/relationships/hyperlink" Id="rId11" Target="/examples/general/03-orientation-examples_changepoints.md" TargetMode="External" /><Relationship Type="http://schemas.openxmlformats.org/officeDocument/2006/relationships/hyperlink" Id="rId12" Target="/examples/general/04-orientation-examples_motifs.md" TargetMode="External" /><Relationship Type="http://schemas.openxmlformats.org/officeDocument/2006/relationships/hyperlink" Id="rId14" Target="/examples/general/05-utilities-examples_deviation_measures.md" TargetMode="External" /><Relationship Type="http://schemas.openxmlformats.org/officeDocument/2006/relationships/hyperlink" Id="rId15" Target="/examples/general/06-utilities-examples_filter_criteria_candidate_selection.md" TargetMode="External" /><Relationship Type="http://schemas.openxmlformats.org/officeDocument/2006/relationships/hyperlink" Id="rId17" Target="/examples/general/07-evaluation-har_eval.md" TargetMode="External" /><Relationship Type="http://schemas.openxmlformats.org/officeDocument/2006/relationships/hyperlink" Id="rId18" Target="/examples/general/08-evaluation-har_eval_sof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2026-05-20T02:52:12Z</dcterms:created>
  <dcterms:modified xsi:type="dcterms:W3CDTF">2026-05-20T02:52:12Z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