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tutorial-01---first-steps"/>
    <w:p>
      <w:pPr>
        <w:pStyle w:val="Heading2"/>
      </w:pPr>
      <w:r>
        <w:t xml:space="preserve">Tutorial 01 - First Steps</w:t>
      </w:r>
    </w:p>
    <w:p>
      <w:pPr>
        <w:pStyle w:val="FirstParagraph"/>
      </w:pPr>
      <w:r>
        <w:t xml:space="preserve">The first objective is simple: understand the basic Harbinger workflow on a labeled series. In the examples that follow, this same rhythm will appear repeatedly: load data, configure a method, run the analysis, inspect the output, and plot the result.</w:t>
      </w:r>
    </w:p>
    <w:p>
      <w:pPr>
        <w:pStyle w:val="BodyText"/>
      </w:pPr>
      <w:r>
        <w:t xml:space="preserve">This notebook uses the default</w:t>
      </w:r>
      <w:r>
        <w:t xml:space="preserve"> </w:t>
      </w:r>
      <w:r>
        <w:rPr>
          <w:rStyle w:val="VerbatimChar"/>
        </w:rPr>
        <w:t xml:space="preserve">harbinger()</w:t>
      </w:r>
      <w:r>
        <w:t xml:space="preserve"> </w:t>
      </w:r>
      <w:r>
        <w:t xml:space="preserve">object because the focus is not on a specific detector yet. The goal is to make the package interface familiar before introducing specialized methods.</w:t>
      </w:r>
    </w:p>
    <w:p>
      <w:pPr>
        <w:pStyle w:val="BodyText"/>
      </w:pPr>
      <w:r>
        <w:t xml:space="preserve">Conceptually, this object represents the common contract of the package: a Harbinger method receives a series and returns a standardized event-oriented output that can later be plotted or evaluated. Learning that contract first makes the later detectors much easier to understand.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 install.packages("harbinger")</w:t>
      </w:r>
    </w:p>
    <w:p>
      <w:pPr>
        <w:pStyle w:val="FirstParagraph"/>
      </w:pPr>
      <w:r>
        <w:t xml:space="preserve">Load the package and a small labeled anomaly series.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FirstParagraph"/>
      </w:pPr>
      <w:r>
        <w:t xml:space="preserve">Before running a method, it helps to see the series and the known event labels.</w:t>
      </w:r>
    </w:p>
    <w:p>
      <w:pPr>
        <w:pStyle w:val="SourceCode"/>
      </w:pP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harbinger/examples/tutorial/doc/01-first-steps_files/340145a6a24854a6c9b3bc33d675594d5fc00a7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Now create the default Harbinger model.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Run the analysis and inspect the returned structure.</w:t>
      </w:r>
    </w:p>
    <w:p>
      <w:pPr>
        <w:pStyle w:val="SourceCode"/>
      </w:pP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(detection)</w:t>
      </w:r>
    </w:p>
    <w:p>
      <w:pPr>
        <w:pStyle w:val="SourceCode"/>
      </w:pPr>
      <w:r>
        <w:rPr>
          <w:rStyle w:val="VerbatimChar"/>
        </w:rPr>
        <w:t xml:space="preserve">##   idx event type</w:t>
      </w:r>
      <w:r>
        <w:br/>
      </w:r>
      <w:r>
        <w:rPr>
          <w:rStyle w:val="VerbatimChar"/>
        </w:rPr>
        <w:t xml:space="preserve">## 1   1 FALSE     </w:t>
      </w:r>
      <w:r>
        <w:br/>
      </w:r>
      <w:r>
        <w:rPr>
          <w:rStyle w:val="VerbatimChar"/>
        </w:rPr>
        <w:t xml:space="preserve">## 2   2 FALSE     </w:t>
      </w:r>
      <w:r>
        <w:br/>
      </w:r>
      <w:r>
        <w:rPr>
          <w:rStyle w:val="VerbatimChar"/>
        </w:rPr>
        <w:t xml:space="preserve">## 3   3 FALSE     </w:t>
      </w:r>
      <w:r>
        <w:br/>
      </w:r>
      <w:r>
        <w:rPr>
          <w:rStyle w:val="VerbatimChar"/>
        </w:rPr>
        <w:t xml:space="preserve">## 4   4 FALSE     </w:t>
      </w:r>
      <w:r>
        <w:br/>
      </w:r>
      <w:r>
        <w:rPr>
          <w:rStyle w:val="VerbatimChar"/>
        </w:rPr>
        <w:t xml:space="preserve">## 5   5 FALSE     </w:t>
      </w:r>
      <w:r>
        <w:br/>
      </w:r>
      <w:r>
        <w:rPr>
          <w:rStyle w:val="VerbatimChar"/>
        </w:rPr>
        <w:t xml:space="preserve">## 6   6 FALSE</w:t>
      </w:r>
    </w:p>
    <w:p>
      <w:pPr>
        <w:pStyle w:val="FirstParagraph"/>
      </w:pPr>
      <w:r>
        <w:t xml:space="preserve">Finish by plotting the detections against the labeled events.</w:t>
      </w:r>
    </w:p>
    <w:p>
      <w:pPr>
        <w:pStyle w:val="SourceCode"/>
      </w:pP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/home/gpca/harbinger/examples/tutorial/doc/01-first-steps_files/340145a6a24854a6c9b3bc33d675594d5fc00a7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15">
        <w:r>
          <w:rPr>
            <w:rStyle w:val="Hyperlink"/>
          </w:rPr>
          <w:t xml:space="preserve">doi:10.1007/978-3-031-75941-3</w:t>
        </w:r>
      </w:hyperlink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5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2026-05-20T02:52:48Z</dcterms:created>
  <dcterms:modified xsi:type="dcterms:W3CDTF">2026-05-20T02:52:48Z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