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p>
      <w:pPr>
        <w:pStyle w:val="BodyText"/>
      </w:pPr>
      <w:r>
        <w:t xml:space="preserve">Objectives:</w:t>
      </w:r>
      <w:r>
        <w:t xml:space="preserve"> </w:t>
      </w:r>
      <w:r>
        <w:t xml:space="preserve">This Rmd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anomalies/doc/han_autoenc_adv_ed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han_autoenc_adv_ed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han_autoenc_adv_ed_files/figure-docx/unnamed-chunk-1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Makhzani, A., Shlens, J., Jaitly, N., Goodfellow, I., &amp; Frey, B. (2016). Adversarial Autoencoders. arXiv:1511.05644.</w:t>
      </w:r>
      <w:r>
        <w:t xml:space="preserve"> </w:t>
      </w:r>
      <w:r>
        <w:t xml:space="preserve">- Chalapathy, R., &amp; Chawla, S. (2019). Deep Learning for Anomaly Detection: A Survey. arXiv:1901.03407.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2025-11-08T00:17:19Z</dcterms:created>
  <dcterms:modified xsi:type="dcterms:W3CDTF">2025-11-08T00:17:19Z</dcterms:modified>
</cp:coreProperties>
</file>

<file path=docProps/custom.xml><?xml version="1.0" encoding="utf-8"?>
<Properties xmlns="http://schemas.openxmlformats.org/officeDocument/2006/custom-properties" xmlns:vt="http://schemas.openxmlformats.org/officeDocument/2006/docPropsVTypes"/>
</file>