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GARCH-based regression anomaly detection: This detector estimates a GARCH model to capture conditional heteroskedasticity and flags observations with large standardized residuals as anomalies. A common configuration is sGARCH(1,1) with an ARMA mean. Residuals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GARCH-based detector models conditional heteroskedasticity and flags large standardized residuals as anomalies.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sample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 detector (</w:t>
      </w:r>
      <w:r>
        <w:rPr>
          <w:rStyle w:val="VerbatimChar"/>
        </w:rPr>
        <w:t xml:space="preserve">hanr_garch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GARCH-based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Engle, R. F. (1982). Autoregressive Conditional Heteroscedasticity with Estimates of the Variance of United Kingdom Inflation. Econometrica, 50(4), 987–1007.</w:t>
      </w:r>
      <w:r>
        <w:t xml:space="preserve"> </w:t>
      </w:r>
      <w:r>
        <w:t xml:space="preserve">- Bollerslev, T. (1986). Generalized Autoregressive Conditional Heteroskedasticity. Journal of Econometrics, 31(3), 307–327.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2025-11-08T00:20:32Z</dcterms:created>
  <dcterms:modified xsi:type="dcterms:W3CDTF">2025-11-08T00:20:32Z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