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stacked autoencoder (</w:t>
      </w:r>
      <w:r>
        <w:rPr>
          <w:rStyle w:val="VerbatimChar"/>
        </w:rPr>
        <w:t xml:space="preserve">han_autoencoder(..., autoenc_stacked_ed, ...)</w:t>
      </w:r>
      <w:r>
        <w:t xml:space="preserve">). Stacking deepens the encoder/decoder to capture richer structure; anomalies have higher reconstruction error. Steps: load packages/data, visualize, define layers/epochs,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Stacked autoencoder (encode-decode): A stacked autoencoder deepens encoder/decoder layers to capture richer nonlinear structure; large reconstruction error flags anomalies.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. The semantic point is the one stated above: stacked autoencoder (encode-decode): A stacked autoencoder deepens encoder/decoder layers to capture richer nonlinear structure;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stacked autoencoder (encode-decode): A stacked autoencoder deepens encoder/decoder layers to capture richer nonlinear structure;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4-autoencoder-han_autoenc_stacked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stacked autoencoder (encode-decode): A stacked autoencoder deepens encoder/decoder layers to capture richer nonlinear structure;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stacked autoencoder-based detector (autoenc_stacked_ed)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autoenc_stacked_ed,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52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4-autoencoder-han_autoenc_stacked_ed_files/58277a5e1a2f35161ed1d6a218120a8083a078a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4-autoencoder-han_autoenc_stacked_ed_files/9a6bd312932fa1bc91f3f715a880dbc8d51fbc6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2026-05-14T04:49:49Z</dcterms:created>
  <dcterms:modified xsi:type="dcterms:W3CDTF">2026-05-14T04:49:49Z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