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 an adversarial autoencoder (</w:t>
      </w:r>
      <w:r>
        <w:rPr>
          <w:rStyle w:val="VerbatimChar"/>
        </w:rPr>
        <w:t xml:space="preserve">han_autoencoder(..., autoenc_adv_ed, ...)</w:t>
      </w:r>
      <w:r>
        <w:t xml:space="preserve">). The model learns a robust latent representation; anomalies yield higher reconstruction error. Steps: load packages/data, visualize, define the architecture/epochs, fit, detect, evaluate, and plot.</w:t>
      </w:r>
    </w:p>
    <w:bookmarkEnd w:id="9"/>
    <w:bookmarkStart w:id="10" w:name="method-at-a-glance"/>
    <w:p>
      <w:pPr>
        <w:pStyle w:val="Heading2"/>
      </w:pPr>
      <w:r>
        <w:t xml:space="preserve">Method at a glance</w:t>
      </w:r>
    </w:p>
    <w:p>
      <w:pPr>
        <w:pStyle w:val="FirstParagraph"/>
      </w:pPr>
      <w:r>
        <w:t xml:space="preserve">Adversarial Autoencoder (encode-decode): An adversarial autoencoder (AAE) augments a standard encoder-decoder with an adversarial objective on the latent code. The encoder maps each input window into a latent vector and the decoder attempts to reconstruct the original window. In parallel, a discriminator is trained to distinguish latent samples produced by the encoder from samples drawn from a chosen prior distribution (e.g., Gaussian). The encoder is trained to fool the discriminator, aligning the aggregated posterior of the latent space with the prior. This regularization encourages the model to represent normal time-series patterns on a compact manifold and to reconstruct them well. Windows that deviate from this learned manifold (anomalies) typically yield larger reconstruction errors. In this example, windows are scored by reconstruction error and events are flagged when the score exceeds a learned threshold.</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han_autoencoder(..., autoenc_adv_ed, ...)</w:t>
      </w:r>
      <w:r>
        <w:t xml:space="preserve">. The semantic point is the one stated above: adversarial Autoencoder (encode-decode): An adversarial autoencoder (AAE) augments a standard encoder-decoder with an adversarial objective on the latent code,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adversarial Autoencoder (encode-decode): An adversarial autoencoder (AAE) augments a standard encoder-decoder with an adversarial objective on the latent code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86-autoencoder-han_autoenc_adv_e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adversarial Autoencoder (encode-decode): An adversarial autoencoder (AAE) augments a standard encoder-decoder with an adversarial objective on the latent code, so each argument controls how strongly the method will emphasize that pattern when it later produces reconstruction-based anomaly flags.</w:t>
      </w:r>
    </w:p>
    <w:p>
      <w:pPr>
        <w:pStyle w:val="SourceCode"/>
      </w:pPr>
      <w:r>
        <w:rPr>
          <w:rStyle w:val="CommentTok"/>
        </w:rPr>
        <w:t xml:space="preserve"># Define adversarial autoencoder-based detector (autoenc_adv_ed)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autoenc_adv_ed,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han_autoencoder(..., autoenc_adv_ed, ...)</w:t>
      </w:r>
      <w:r>
        <w:t xml:space="preserve">, the important question is whether the resulting reconstruction-based anomaly flags really correspond to the pattern implied by the method description above, rather than to arbitrary numerical variation.</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17"/>
    <w:bookmarkStart w:id="18" w:name="evaluate-what-was-found"/>
    <w:p>
      <w:pPr>
        <w:pStyle w:val="Heading3"/>
      </w:pPr>
      <w:r>
        <w:t xml:space="preserve">Evaluate What Was Found</w:t>
      </w:r>
    </w:p>
    <w:p>
      <w:pPr>
        <w:pStyle w:val="FirstParagraph"/>
      </w:pPr>
      <w:r>
        <w:t xml:space="preserve">The evaluation asks whether the reconstruction-based anomaly flags produced by</w:t>
      </w:r>
      <w:r>
        <w:t xml:space="preserve"> </w:t>
      </w:r>
      <w:r>
        <w:rPr>
          <w:rStyle w:val="VerbatimChar"/>
        </w:rPr>
        <w:t xml:space="preserve">han_autoencoder(..., autoenc_adv_ed,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reconstruction-based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86-autoencoder-han_autoenc_adv_ed_files/aab29680e33d49cf894c5bdb4624784df26b008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86-autoencoder-han_autoenc_adv_ed_files/8f4ea0fca20521c51039119bdbb329bb6fe28d43.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Makhzani, A., Shlens, J., Jaitly, N., Goodfellow, I., &amp; Frey, B. (2016). Adversarial Autoencoders. arXiv:1511.05644.</w:t>
      </w:r>
    </w:p>
    <w:p>
      <w:pPr>
        <w:pStyle w:val="Compact"/>
        <w:numPr>
          <w:ilvl w:val="0"/>
          <w:numId w:val="1002"/>
        </w:numPr>
      </w:pPr>
      <w:r>
        <w:t xml:space="preserve">Chalapathy, R., &amp; Chawla, S. (2019). Deep Learning for Anomaly Detection: A Survey. arXiv:1901.03407.</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2026-05-14T04:49:53Z</dcterms:created>
  <dcterms:modified xsi:type="dcterms:W3CDTF">2026-05-14T04:49:53Z</dcterms:modified>
</cp:coreProperties>
</file>

<file path=docProps/custom.xml><?xml version="1.0" encoding="utf-8"?>
<Properties xmlns="http://schemas.openxmlformats.org/officeDocument/2006/custom-properties" xmlns:vt="http://schemas.openxmlformats.org/officeDocument/2006/docPropsVTypes"/>
</file>