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13.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PCA-based detector flags large reconstruction errors when projecting multivariate data onto principal components. In this tutorial we:</w:t>
      </w:r>
    </w:p>
    <w:p>
      <w:pPr>
        <w:pStyle w:val="Compact"/>
        <w:numPr>
          <w:ilvl w:val="0"/>
          <w:numId w:val="1001"/>
        </w:numPr>
      </w:pPr>
      <w:r>
        <w:t xml:space="preserve">Load a multivariate example and create synthetic event labels</w:t>
      </w:r>
    </w:p>
    <w:p>
      <w:pPr>
        <w:pStyle w:val="Compact"/>
        <w:numPr>
          <w:ilvl w:val="0"/>
          <w:numId w:val="1001"/>
        </w:numPr>
      </w:pPr>
      <w:r>
        <w:t xml:space="preserve">Fit the PCA detector on two dimensions</w:t>
      </w:r>
    </w:p>
    <w:p>
      <w:pPr>
        <w:pStyle w:val="Compact"/>
        <w:numPr>
          <w:ilvl w:val="0"/>
          <w:numId w:val="1001"/>
        </w:numPr>
      </w:pPr>
      <w:r>
        <w:t xml:space="preserve">Visualize detections over different series and inspect residual magnitudes</w:t>
      </w:r>
    </w:p>
    <w:bookmarkEnd w:id="9"/>
    <w:bookmarkStart w:id="10" w:name="method-at-a-glance"/>
    <w:p>
      <w:pPr>
        <w:pStyle w:val="Heading2"/>
      </w:pPr>
      <w:r>
        <w:t xml:space="preserve">Method at a glance</w:t>
      </w:r>
    </w:p>
    <w:p>
      <w:pPr>
        <w:pStyle w:val="FirstParagraph"/>
      </w:pPr>
      <w:r>
        <w:t xml:space="preserve">PCA-based regression anomaly detection: Projects multivariate observations onto principal components and reconstructs data; large reconstruction errors indicate anomalies. Data are standardized, PCA is fitted, and reconstruction errors are thresholded.</w:t>
      </w:r>
    </w:p>
    <w:bookmarkEnd w:id="10"/>
    <w:bookmarkStart w:id="25"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41-multivariate-hmu_pca</w:t>
      </w:r>
      <w:r>
        <w:t xml:space="preserve">. The semantic point is the one stated above: pCA-based regression anomaly detection: Projects multivariate observations onto principal components and reconstructs data; large reconstruction errors indicate anomalies,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r>
        <w:br/>
      </w:r>
      <w:r>
        <w:rPr>
          <w:rStyle w:val="FunctionTok"/>
        </w:rPr>
        <w:t xml:space="preserve">library</w:t>
      </w:r>
      <w:r>
        <w:rPr>
          <w:rStyle w:val="NormalTok"/>
        </w:rPr>
        <w:t xml:space="preserve">(ggplot2)</w:t>
      </w:r>
    </w:p>
    <w:p>
      <w:pPr>
        <w:pStyle w:val="SourceCode"/>
      </w:pPr>
      <w:r>
        <w:rPr>
          <w:rStyle w:val="CommentTok"/>
        </w:rPr>
        <w:t xml:space="preserve"># Load a multivariate example and define event labels (for demo)</w:t>
      </w:r>
      <w:r>
        <w:br/>
      </w:r>
      <w:r>
        <w:rPr>
          <w:rStyle w:val="FunctionTok"/>
        </w:rPr>
        <w:t xml:space="preserve">data</w:t>
      </w:r>
      <w:r>
        <w:rPr>
          <w:rStyle w:val="NormalTok"/>
        </w:rPr>
        <w:t xml:space="preserve">(</w:t>
      </w:r>
      <w:r>
        <w:rPr>
          <w:rStyle w:val="StringTok"/>
        </w:rPr>
        <w:t xml:space="preserve">"examples_harbinger"</w:t>
      </w:r>
      <w:r>
        <w:rPr>
          <w:rStyle w:val="NormalTok"/>
        </w:rPr>
        <w:t xml:space="preserve">)</w:t>
      </w:r>
      <w:r>
        <w:br/>
      </w:r>
      <w:r>
        <w:rPr>
          <w:rStyle w:val="NormalTok"/>
        </w:rPr>
        <w:t xml:space="preserve">dataset </w:t>
      </w:r>
      <w:r>
        <w:rPr>
          <w:rStyle w:val="OtherTok"/>
        </w:rPr>
        <w:t xml:space="preserve">&lt;-</w:t>
      </w:r>
      <w:r>
        <w:rPr>
          <w:rStyle w:val="NormalTok"/>
        </w:rPr>
        <w:t xml:space="preserve"> examples_harbinger</w:t>
      </w:r>
      <w:r>
        <w:rPr>
          <w:rStyle w:val="SpecialCharTok"/>
        </w:rPr>
        <w:t xml:space="preserve">$</w:t>
      </w:r>
      <w:r>
        <w:rPr>
          <w:rStyle w:val="NormalTok"/>
        </w:rPr>
        <w:t xml:space="preserve">multidimensional</w:t>
      </w:r>
      <w:r>
        <w:br/>
      </w:r>
      <w:r>
        <w:rPr>
          <w:rStyle w:val="NormalTok"/>
        </w:rPr>
        <w:t xml:space="preserve">dataset</w:t>
      </w:r>
      <w:r>
        <w:rPr>
          <w:rStyle w:val="SpecialCharTok"/>
        </w:rPr>
        <w:t xml:space="preserve">$</w:t>
      </w:r>
      <w:r>
        <w:rPr>
          <w:rStyle w:val="NormalTok"/>
        </w:rPr>
        <w:t xml:space="preserve">event </w:t>
      </w:r>
      <w:r>
        <w:rPr>
          <w:rStyle w:val="OtherTok"/>
        </w:rPr>
        <w:t xml:space="preserve">&lt;-</w:t>
      </w:r>
      <w:r>
        <w:rPr>
          <w:rStyle w:val="NormalTok"/>
        </w:rPr>
        <w:t xml:space="preserve"> </w:t>
      </w:r>
      <w:r>
        <w:rPr>
          <w:rStyle w:val="ConstantTok"/>
        </w:rPr>
        <w:t xml:space="preserve">FALSE</w:t>
      </w:r>
      <w:r>
        <w:br/>
      </w:r>
      <w:r>
        <w:rPr>
          <w:rStyle w:val="NormalTok"/>
        </w:rPr>
        <w:t xml:space="preserve">dataset</w:t>
      </w:r>
      <w:r>
        <w:rPr>
          <w:rStyle w:val="SpecialCharTok"/>
        </w:rPr>
        <w:t xml:space="preserve">$</w:t>
      </w:r>
      <w:r>
        <w:rPr>
          <w:rStyle w:val="NormalTok"/>
        </w:rPr>
        <w:t xml:space="preserve">event[</w:t>
      </w:r>
      <w:r>
        <w:rPr>
          <w:rStyle w:val="FunctionTok"/>
        </w:rPr>
        <w:t xml:space="preserve">c</w:t>
      </w:r>
      <w:r>
        <w:rPr>
          <w:rStyle w:val="NormalTok"/>
        </w:rPr>
        <w:t xml:space="preserve">(</w:t>
      </w:r>
      <w:r>
        <w:rPr>
          <w:rStyle w:val="DecValTok"/>
        </w:rPr>
        <w:t xml:space="preserve">101</w:t>
      </w:r>
      <w:r>
        <w:rPr>
          <w:rStyle w:val="NormalTok"/>
        </w:rPr>
        <w:t xml:space="preserve">,</w:t>
      </w:r>
      <w:r>
        <w:rPr>
          <w:rStyle w:val="DecValTok"/>
        </w:rPr>
        <w:t xml:space="preserve">128</w:t>
      </w:r>
      <w:r>
        <w:rPr>
          <w:rStyle w:val="NormalTok"/>
        </w:rPr>
        <w:t xml:space="preserve">,</w:t>
      </w:r>
      <w:r>
        <w:rPr>
          <w:rStyle w:val="DecValTok"/>
        </w:rPr>
        <w:t xml:space="preserve">167</w:t>
      </w:r>
      <w:r>
        <w:rPr>
          <w:rStyle w:val="NormalTok"/>
        </w:rPr>
        <w:t xml:space="preserve">)] </w:t>
      </w:r>
      <w:r>
        <w:rPr>
          <w:rStyle w:val="OtherTok"/>
        </w:rPr>
        <w:t xml:space="preserve">&lt;-</w:t>
      </w:r>
      <w:r>
        <w:rPr>
          <w:rStyle w:val="NormalTok"/>
        </w:rPr>
        <w:t xml:space="preserve"> </w:t>
      </w:r>
      <w:r>
        <w:rPr>
          <w:rStyle w:val="ConstantTok"/>
        </w:rPr>
        <w:t xml:space="preserve">TRUE</w:t>
      </w:r>
    </w:p>
    <w:bookmarkEnd w:id="11"/>
    <w:bookmarkStart w:id="12"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41-multivariate-hmu_pca</w:t>
      </w:r>
      <w:r>
        <w:t xml:space="preserve">, the important question is whether the resulting multivariate anomaly flags really correspond to the pattern implied by the method description above, rather than to arbitrary numerical variation.</w:t>
      </w:r>
    </w:p>
    <w:p>
      <w:pPr>
        <w:pStyle w:val="SourceCode"/>
      </w:pPr>
      <w:r>
        <w:rPr>
          <w:rStyle w:val="FunctionTok"/>
        </w:rPr>
        <w:t xml:space="preserve">head</w:t>
      </w:r>
      <w:r>
        <w:rPr>
          <w:rStyle w:val="NormalTok"/>
        </w:rPr>
        <w:t xml:space="preserve">(dataset)</w:t>
      </w:r>
    </w:p>
    <w:p>
      <w:pPr>
        <w:pStyle w:val="SourceCode"/>
      </w:pPr>
      <w:r>
        <w:rPr>
          <w:rStyle w:val="VerbatimChar"/>
        </w:rPr>
        <w:t xml:space="preserve">##        serie           x event</w:t>
      </w:r>
      <w:r>
        <w:br/>
      </w:r>
      <w:r>
        <w:rPr>
          <w:rStyle w:val="VerbatimChar"/>
        </w:rPr>
        <w:t xml:space="preserve">## 1 -0.6264538  0.40940184 FALSE</w:t>
      </w:r>
      <w:r>
        <w:br/>
      </w:r>
      <w:r>
        <w:rPr>
          <w:rStyle w:val="VerbatimChar"/>
        </w:rPr>
        <w:t xml:space="preserve">## 2 -0.8356286  1.58658843 FALSE</w:t>
      </w:r>
      <w:r>
        <w:br/>
      </w:r>
      <w:r>
        <w:rPr>
          <w:rStyle w:val="VerbatimChar"/>
        </w:rPr>
        <w:t xml:space="preserve">## 3  1.5952808 -0.33090780 FALSE</w:t>
      </w:r>
      <w:r>
        <w:br/>
      </w:r>
      <w:r>
        <w:rPr>
          <w:rStyle w:val="VerbatimChar"/>
        </w:rPr>
        <w:t xml:space="preserve">## 4  0.3295078 -2.28523554 FALSE</w:t>
      </w:r>
      <w:r>
        <w:br/>
      </w:r>
      <w:r>
        <w:rPr>
          <w:rStyle w:val="VerbatimChar"/>
        </w:rPr>
        <w:t xml:space="preserve">## 5 -0.8204684  2.49766159 FALSE</w:t>
      </w:r>
      <w:r>
        <w:br/>
      </w:r>
      <w:r>
        <w:rPr>
          <w:rStyle w:val="VerbatimChar"/>
        </w:rPr>
        <w:t xml:space="preserve">## 6  0.5757814 -0.01339952 FALSE</w:t>
      </w:r>
    </w:p>
    <w:bookmarkEnd w:id="12"/>
    <w:bookmarkStart w:id="19" w:name="interpret-the-result-visually"/>
    <w:p>
      <w:pPr>
        <w:pStyle w:val="Heading3"/>
      </w:pPr>
      <w:r>
        <w:t xml:space="preserve">Interpret the Result Visually</w:t>
      </w:r>
    </w:p>
    <w:p>
      <w:pPr>
        <w:pStyle w:val="FirstParagraph"/>
      </w:pPr>
      <w:r>
        <w:t xml:space="preserve">This visual check puts the model output back on top of the original signal. What matters now is whether the highlighted multivariate anomaly flags line up with the structure suggested by the method, which is the real semantic test of whether the example is teaching the right lesson.</w:t>
      </w:r>
    </w:p>
    <w:p>
      <w:pPr>
        <w:pStyle w:val="SourceCode"/>
      </w:pPr>
      <w:r>
        <w:rPr>
          <w:rStyle w:val="CommentTok"/>
        </w:rPr>
        <w:t xml:space="preserve"># Plot the target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4" name="Picture"/>
            <a:graphic>
              <a:graphicData uri="http://schemas.openxmlformats.org/drawingml/2006/picture">
                <pic:pic>
                  <pic:nvPicPr>
                    <pic:cNvPr descr="/home/gpca/harbinger/examples/anomalies/doc/41-multivariate-hmu_pca_files/aeb4706f68fbb583cfa3ab7eedb4a808873b40db.png" id="15" name="Picture"/>
                    <pic:cNvPicPr>
                      <a:picLocks noChangeArrowheads="1" noChangeAspect="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the second dimension</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x)</w:t>
      </w:r>
    </w:p>
    <w:p>
      <w:pPr>
        <w:pStyle w:val="FirstParagraph"/>
      </w:pPr>
      <w:r>
        <w:drawing>
          <wp:inline>
            <wp:extent cx="4620126" cy="3696101"/>
            <wp:effectExtent b="0" l="0" r="0" t="0"/>
            <wp:docPr descr="" title="" id="17" name="Picture"/>
            <a:graphic>
              <a:graphicData uri="http://schemas.openxmlformats.org/drawingml/2006/picture">
                <pic:pic>
                  <pic:nvPicPr>
                    <pic:cNvPr descr="/home/gpca/harbinger/examples/anomalies/doc/41-multivariate-hmu_pca_files/bbca34e3aeedbaa3ad181ab039d3408cb0267dba.png" id="18" name="Picture"/>
                    <pic:cNvPicPr>
                      <a:picLocks noChangeArrowheads="1" noChangeAspect="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bookmarkEnd w:id="19"/>
    <w:bookmarkStart w:id="20" w:name="configure-the-method"/>
    <w:p>
      <w:pPr>
        <w:pStyle w:val="Heading3"/>
      </w:pPr>
      <w:r>
        <w:t xml:space="preserve">Configure the Method</w:t>
      </w:r>
    </w:p>
    <w:p>
      <w:pPr>
        <w:pStyle w:val="FirstParagraph"/>
      </w:pPr>
      <w:r>
        <w:t xml:space="preserve">The choices below turn the central modeling idea into concrete parameters. They matter because pCA-based regression anomaly detection: Projects multivariate observations onto principal components and reconstructs data; large reconstruction errors indicate anomalies, so each argument controls how strongly the method will emphasize that pattern when it later produces multivariate anomaly flags.</w:t>
      </w:r>
    </w:p>
    <w:p>
      <w:pPr>
        <w:pStyle w:val="SourceCode"/>
      </w:pPr>
      <w:r>
        <w:rPr>
          <w:rStyle w:val="CommentTok"/>
        </w:rPr>
        <w:t xml:space="preserve"># Fit the PCA detector on the first two columns and run detection</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w:t>
      </w:r>
      <w:r>
        <w:rPr>
          <w:rStyle w:val="FunctionTok"/>
        </w:rPr>
        <w:t xml:space="preserve">hmu_pca</w:t>
      </w:r>
      <w:r>
        <w:rPr>
          <w:rStyle w:val="NormalTok"/>
        </w:rPr>
        <w:t xml:space="preserve">(), dataset[,</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DecValTok"/>
        </w:rPr>
        <w:t xml:space="preserve">1</w:t>
      </w:r>
      <w:r>
        <w:rPr>
          <w:rStyle w:val="SpecialCharTok"/>
        </w:rPr>
        <w:t xml:space="preserve">:</w:t>
      </w:r>
      <w:r>
        <w:rPr>
          <w:rStyle w:val="DecValTok"/>
        </w:rPr>
        <w:t xml:space="preserve">2</w:t>
      </w:r>
      <w:r>
        <w:rPr>
          <w:rStyle w:val="NormalTok"/>
        </w:rPr>
        <w:t xml:space="preserve">])</w:t>
      </w:r>
    </w:p>
    <w:bookmarkEnd w:id="20"/>
    <w:bookmarkStart w:id="24"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multivariate anomaly flags line up with the structure suggested by the method, which is the real semantic test of whether the example is teaching the right lesson.</w:t>
      </w:r>
    </w:p>
    <w:p>
      <w:pPr>
        <w:pStyle w:val="SourceCode"/>
      </w:pPr>
      <w:r>
        <w:rPr>
          <w:rStyle w:val="CommentTok"/>
        </w:rPr>
        <w:t xml:space="preserve"># Plot detections on the target series</w:t>
      </w:r>
      <w:r>
        <w:br/>
      </w:r>
      <w:r>
        <w:rPr>
          <w:rStyle w:val="NormalTok"/>
        </w:rPr>
        <w:t xml:space="preserve">grf </w:t>
      </w:r>
      <w:r>
        <w:rPr>
          <w:rStyle w:val="OtherTok"/>
        </w:rPr>
        <w:t xml:space="preserve">&lt;-</w:t>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r>
        <w:br/>
      </w:r>
      <w:r>
        <w:rPr>
          <w:rStyle w:val="NormalTok"/>
        </w:rPr>
        <w:t xml:space="preserve">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"serie"</w:t>
      </w:r>
      <w:r>
        <w:rPr>
          <w:rStyle w:val="NormalTok"/>
        </w:rPr>
        <w:t xml:space="preserve">)</w:t>
      </w:r>
    </w:p>
    <w:p>
      <w:pPr>
        <w:pStyle w:val="SourceCode"/>
      </w:pPr>
      <w:r>
        <w:rPr>
          <w:rStyle w:val="CommentTok"/>
        </w:rPr>
        <w:t xml:space="preserve"># Plot detections on the second dimension</w:t>
      </w:r>
      <w:r>
        <w:br/>
      </w:r>
      <w:r>
        <w:rPr>
          <w:rStyle w:val="NormalTok"/>
        </w:rPr>
        <w:t xml:space="preserve">grf </w:t>
      </w:r>
      <w:r>
        <w:rPr>
          <w:rStyle w:val="OtherTok"/>
        </w:rPr>
        <w:t xml:space="preserve">&lt;-</w:t>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x, detection, dataset</w:t>
      </w:r>
      <w:r>
        <w:rPr>
          <w:rStyle w:val="SpecialCharTok"/>
        </w:rPr>
        <w:t xml:space="preserve">$</w:t>
      </w:r>
      <w:r>
        <w:rPr>
          <w:rStyle w:val="NormalTok"/>
        </w:rPr>
        <w:t xml:space="preserve">event)</w:t>
      </w:r>
      <w:r>
        <w:br/>
      </w:r>
      <w:r>
        <w:rPr>
          <w:rStyle w:val="NormalTok"/>
        </w:rPr>
        <w:t xml:space="preserve">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"x"</w:t>
      </w:r>
      <w:r>
        <w:rPr>
          <w:rStyle w:val="NormalTok"/>
        </w:rPr>
        <w:t xml:space="preserve">)</w:t>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home/gpca/harbinger/examples/anomalies/doc/41-multivariate-hmu_pca_files/19394618cf6db2c92e180903640b88bd05ff7abf.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bookmarkEnd w:id="24"/>
    <w:bookmarkEnd w:id="25"/>
    <w:bookmarkStart w:id="26" w:name="references"/>
    <w:p>
      <w:pPr>
        <w:pStyle w:val="Heading2"/>
      </w:pPr>
      <w:r>
        <w:t xml:space="preserve">References</w:t>
      </w:r>
    </w:p>
    <w:p>
      <w:pPr>
        <w:pStyle w:val="Compact"/>
        <w:numPr>
          <w:ilvl w:val="0"/>
          <w:numId w:val="1003"/>
        </w:numPr>
      </w:pPr>
      <w:r>
        <w:t xml:space="preserve">Jolliffe, I. T. (2002). Principal Component Analysis. Springer.</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13" Target="media/rId13.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2026-05-10T21:43:12Z</dcterms:created>
  <dcterms:modified xsi:type="dcterms:W3CDTF">2026-05-10T21:43:12Z</dcterms:modified>
</cp:coreProperties>
</file>

<file path=docProps/custom.xml><?xml version="1.0" encoding="utf-8"?>
<Properties xmlns="http://schemas.openxmlformats.org/officeDocument/2006/custom-properties" xmlns:vt="http://schemas.openxmlformats.org/officeDocument/2006/docPropsVTypes"/>
</file>