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sequence-anomaly-detector"/>
    <w:p>
      <w:pPr>
        <w:pStyle w:val="Heading2"/>
      </w:pPr>
      <w:r>
        <w:t xml:space="preserve">Custom Sequence-Anomaly Detector</w:t>
      </w:r>
    </w:p>
    <w:bookmarkEnd w:id="9"/>
    <w:bookmarkStart w:id="10"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10"/>
    <w:bookmarkStart w:id="11" w:name="why-this-method-matters"/>
    <w:p>
      <w:pPr>
        <w:pStyle w:val="Heading2"/>
      </w:pPr>
      <w:r>
        <w:t xml:space="preserve">Why this method matters</w:t>
      </w:r>
    </w:p>
    <w:p>
      <w:pPr>
        <w:pStyle w:val="FirstParagraph"/>
      </w:pPr>
      <w:r>
        <w:t xml:space="preserve">Many anomaly workflows start by scoring each timestamp separately and then applying a candidate-selection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candidate-selection philosophy: once an anomalous run is detected, keep the full run.</w:t>
      </w:r>
    </w:p>
    <w:bookmarkEnd w:id="11"/>
    <w:bookmarkStart w:id="24"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candidate-selection rule: instead of choosing the first or highest point in each group, the detector marks the whole contiguous interval as anomalous.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03-sequence-custom_sequence_anomaly</w:t>
      </w:r>
      <w:r>
        <w:t xml:space="preserve">. The semantic point is the one stated above: the detector computes a rolling median baseline and a rolling MAD scale,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computes a rolling median baseline and a rolling MAD scale while still returning objects that Harbinger can plot and evaluate like any native method.</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13"/>
    <w:bookmarkStart w:id="17"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computes a rolling median baseline and a rolling MAD scale and the plot tells you whether that structure is clean, weak, local, repeated, or mixed with other effects.</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5" name="Picture"/>
            <a:graphic>
              <a:graphicData uri="http://schemas.openxmlformats.org/drawingml/2006/picture">
                <pic:pic>
                  <pic:nvPicPr>
                    <pic:cNvPr descr="/home/gpca/harbinger/examples/custom/doc/03-sequence-custom_sequence_anomaly_files/01259907f5142fdeaac410eeb391261e7fe4e58d.png" id="16" name="Picture"/>
                    <pic:cNvPicPr>
                      <a:picLocks noChangeArrowheads="1" noChangeAspect="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bookmarkEnd w:id="17"/>
    <w:bookmarkStart w:id="1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03-sequence-custom_sequence_anomaly</w:t>
      </w:r>
      <w:r>
        <w:t xml:space="preserve">, the important question is whether the resulting anomaly flags really correspond to the pattern implied by the method description above, rather than to arbitrary numerical variation.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ustom/doc/03-sequence-custom_sequence_anomaly_files/aab72cc199d622020ec8b1ab54a13a677c0df1a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03-sequence-custom_sequence_anomaly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23"/>
    <w:bookmarkEnd w:id="24"/>
    <w:bookmarkStart w:id="26"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Sorbo, S., Ruocco, M. (2024). Navigating the metric maze: a taxonomy of evaluation metrics for anomaly detection in time series. Data Mining and Knowledge Discovery, 38, 1027-1068.</w:t>
      </w:r>
      <w:r>
        <w:t xml:space="preserve"> </w:t>
      </w:r>
      <w:hyperlink r:id="rId25">
        <w:r>
          <w:rPr>
            <w:rStyle w:val="Hyperlink"/>
          </w:rPr>
          <w:t xml:space="preserve">https://doi.org/10.1007/s10618-023-00988-8</w:t>
        </w:r>
      </w:hyperlink>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25"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2026-05-10T21:43:36Z</dcterms:created>
  <dcterms:modified xsi:type="dcterms:W3CDTF">2026-05-10T21:43:36Z</dcterms:modified>
</cp:coreProperties>
</file>

<file path=docProps/custom.xml><?xml version="1.0" encoding="utf-8"?>
<Properties xmlns="http://schemas.openxmlformats.org/officeDocument/2006/custom-properties" xmlns:vt="http://schemas.openxmlformats.org/officeDocument/2006/docPropsVTypes"/>
</file>