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AMOC: AMOC targets a single most significant change point in a univariate series by optimizing a cost function over all possible change locations. It is appropriate when at most one structural break is expected. This wraps the AMOC method from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package.</w:t>
      </w:r>
    </w:p>
    <w:p>
      <w:pPr>
        <w:pStyle w:val="BodyText"/>
      </w:pPr>
      <w:r>
        <w:t xml:space="preserve">AMOC (At Most One Change) detects a single, most significant change point in a univariate time series. In this tutorial we will:</w:t>
      </w:r>
    </w:p>
    <w:p>
      <w:pPr>
        <w:pStyle w:val="Compact"/>
        <w:numPr>
          <w:ilvl w:val="0"/>
          <w:numId w:val="1001"/>
        </w:numPr>
      </w:pPr>
      <w:r>
        <w:t xml:space="preserve">Load a synthetic dataset with ground-truth change points</w:t>
      </w:r>
    </w:p>
    <w:p>
      <w:pPr>
        <w:pStyle w:val="Compact"/>
        <w:numPr>
          <w:ilvl w:val="0"/>
          <w:numId w:val="1001"/>
        </w:numPr>
      </w:pPr>
      <w:r>
        <w:t xml:space="preserve">Visualize the series</w:t>
      </w:r>
    </w:p>
    <w:p>
      <w:pPr>
        <w:pStyle w:val="Compact"/>
        <w:numPr>
          <w:ilvl w:val="0"/>
          <w:numId w:val="1001"/>
        </w:numPr>
      </w:pPr>
      <w:r>
        <w:t xml:space="preserve">Configure and run the AMOC detector (</w:t>
      </w:r>
      <w:r>
        <w:rPr>
          <w:rStyle w:val="VerbatimChar"/>
        </w:rPr>
        <w:t xml:space="preserve">hcp_amoc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ground truth</w:t>
      </w:r>
    </w:p>
    <w:p>
      <w:pPr>
        <w:pStyle w:val="Compact"/>
        <w:numPr>
          <w:ilvl w:val="0"/>
          <w:numId w:val="1001"/>
        </w:numPr>
      </w:pPr>
      <w:r>
        <w:t xml:space="preserve">Plot the detections over the series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a dataset ("complex" contains multiple regimes)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p>
      <w:pPr>
        <w:pStyle w:val="SourceCode"/>
      </w:pPr>
      <w:r>
        <w:rPr>
          <w:rStyle w:val="CommentTok"/>
        </w:rPr>
        <w:t xml:space="preserve"># Plot the time series to visualize regime changes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amoc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the AMOC change-point detector (single change)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hcp_amoc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required, keeps parameters on object)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 over the full series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change-point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1 389  TRUE changepoint</w:t>
      </w:r>
    </w:p>
    <w:p>
      <w:pPr>
        <w:pStyle w:val="SourceCode"/>
      </w:pPr>
      <w:r>
        <w:rPr>
          <w:rStyle w:val="CommentTok"/>
        </w:rPr>
        <w:t xml:space="preserve"># Evaluate detections against the labeled events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4     495</w:t>
      </w:r>
    </w:p>
    <w:p>
      <w:pPr>
        <w:pStyle w:val="SourceCode"/>
      </w:pPr>
      <w:r>
        <w:rPr>
          <w:rStyle w:val="CommentTok"/>
        </w:rPr>
        <w:t xml:space="preserve"># Plot detections and ground truth on top of the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amoc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Hinkley, D. V. (1970). Inference about the change-point in a sequence of random variables. Biometrika, 57(1), 1–17.</w:t>
      </w:r>
      <w:r>
        <w:t xml:space="preserve"> </w:t>
      </w:r>
      <w:hyperlink r:id="rId26">
        <w:r>
          <w:rPr>
            <w:rStyle w:val="Hyperlink"/>
          </w:rPr>
          <w:t xml:space="preserve">doi:10.1093/biomet/57.1.1</w:t>
        </w:r>
      </w:hyperlink>
      <w:r>
        <w:t xml:space="preserve"> </w:t>
      </w:r>
      <w:r>
        <w:t xml:space="preserve">- Killick, R., Fearnhead, P., Eckley, I. A. (2012). Optimal detection of changepoints with a linear computational cost. Journal of the American Statistical Association, 107(500), 1590–1598.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hyperlink" Id="rId26" Target="doi:10.1093/biomet/57.1.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oi:10.1093/biomet/57.1.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2025-11-06T23:02:34Z</dcterms:created>
  <dcterms:modified xsi:type="dcterms:W3CDTF">2025-11-06T23:02:34Z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