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ChangeFinder with GARCH: ChangeFinder with GARCH models conditional variance dynamics; residual-based scores are smoothed and thresholded to flag volatility regime shifts.</w:t>
      </w:r>
    </w:p>
    <w:p>
      <w:pPr>
        <w:pStyle w:val="BodyText"/>
      </w:pPr>
      <w:r>
        <w:t xml:space="preserve">ChangeFinder-GARCH models volatility with GARCH and detects change points by smoothing residual deviations.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GARCH-based change detector (</w:t>
      </w:r>
      <w:r>
        <w:rPr>
          <w:rStyle w:val="VerbatimChar"/>
        </w:rPr>
        <w:t xml:space="preserve">hcp_garch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residuals with thresholds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garch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GARCH-based ChangeFinder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hcp_garch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50  TRUE changepoint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garch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garch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2025-11-06T23:02:49Z</dcterms:created>
  <dcterms:modified xsi:type="dcterms:W3CDTF">2025-11-06T23:02:49Z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